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after="12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lineRule="exact" w:line="560" w:after="40"/>
        <w:ind w:firstLine="640"/>
      </w:pPr>
      <w:r>
        <w:rPr>
          <w:rFonts w:ascii="仿宋_GB2312" w:hAnsi="仿宋_GB2312" w:eastAsia="仿宋_GB2312"/>
          <w:sz w:val="32"/>
        </w:rPr>
        <w:t>（2026年9月30日 · 省级党报经济·科技·消费创新举措精选，福建省可借鉴）</w:t>
      </w:r>
    </w:p>
    <w:p>
      <w:pPr>
        <w:spacing w:lineRule="exact" w:line="560" w:before="200" w:after="80"/>
      </w:pPr>
      <w:r>
        <w:rPr>
          <w:rFonts w:ascii="黑体" w:hAnsi="黑体" w:eastAsia="黑体"/>
          <w:b/>
          <w:sz w:val="32"/>
        </w:rPr>
        <w:t>1、立法，为南京江北新区发展开路</w:t>
      </w:r>
    </w:p>
    <w:p>
      <w:pPr>
        <w:spacing w:lineRule="exact" w:line="560" w:after="40"/>
        <w:ind w:firstLine="640"/>
      </w:pPr>
      <w:r>
        <w:rPr>
          <w:rFonts w:ascii="仿宋_GB2312" w:hAnsi="仿宋_GB2312" w:eastAsia="仿宋_GB2312"/>
          <w:sz w:val="32"/>
        </w:rPr>
        <w:t>江苏省十四届人大常委会第二十五次会议审议《南京江北新区条例（草案）》，作为江苏唯一国家级新区迎来“专属”法规。一是明确法定主体与放权赋能。立法明确江北新区管委会为省政府派出机关、委托南京市管理，省政府赋予其与经济社会发展水平相适应的自主发展、改革和创新权限。二是建立改革容错机制。草案规定改革创新出现偏差失误，在决策程序合法合规、勤勉尽责、未谋取非法利益前提下，可从轻、减轻或免予追责；支持实行差异化考核评价、与业绩贡献挂钩的薪酬制度；因推行制度创新需调整适用有关法规的，管委会可会同三区政府提出建议。三是构建梯度产业体系。明确改造提升石化、钢铁等传统产业，培育壮大集成电路、生命健康等新兴产业，前瞻布局类脑智能等未来产业；集成电路构建设计、制造、封测、装备、材料全覆盖全产业链；对算法模型创新通过发放词元券、模型券、语料券给予支持；统筹推进江苏扬子江产业金融集聚区，发展科技金融、绿色金融、数字金融。四是强化空间与要素保障。支持建设南京都市圈货运枢纽和区域性航运物流中心，统筹水网、新型电网、算力网、新一代通信网等布局；省市统筹财政资金支持重大项目，省级审批征地项目由新区直报省自然资源部门，可在全省实行易地占补平衡。五是完善公共服务。建立以居住证为载体的转移人口公共服务保障体系，制定青年发展政策、建设青年发展型城市，优化办学体制与医疗卫生改革。</w:t>
      </w:r>
    </w:p>
    <w:p>
      <w:pPr>
        <w:spacing w:lineRule="exact" w:line="560" w:before="40"/>
      </w:pPr>
      <w:r>
        <w:rPr>
          <w:rFonts w:ascii="仿宋_GB2312" w:hAnsi="仿宋_GB2312" w:eastAsia="仿宋_GB2312"/>
          <w:sz w:val="32"/>
        </w:rPr>
        <w:t>（信息来源：新华日报9月30日《立法，为南京江北新区发展开路》  https://xh.xhby.net/pc/con/202609/30/content_1594310.html）</w:t>
      </w:r>
    </w:p>
    <w:p>
      <w:pPr>
        <w:spacing w:lineRule="exact" w:line="560" w:before="200" w:after="80"/>
      </w:pPr>
      <w:r>
        <w:rPr>
          <w:rFonts w:ascii="黑体" w:hAnsi="黑体" w:eastAsia="黑体"/>
          <w:b/>
          <w:sz w:val="32"/>
        </w:rPr>
        <w:t>2、当文化“范”撞上OPC</w:t>
      </w:r>
    </w:p>
    <w:p>
      <w:pPr>
        <w:spacing w:lineRule="exact" w:line="560" w:after="40"/>
        <w:ind w:firstLine="640"/>
      </w:pPr>
      <w:r>
        <w:rPr>
          <w:rFonts w:ascii="仿宋_GB2312" w:hAnsi="仿宋_GB2312" w:eastAsia="仿宋_GB2312"/>
          <w:sz w:val="32"/>
        </w:rPr>
        <w:t>苏州市姑苏区吴门桥街道探索“文化+OPC（一人公司/个体工商户）”融合发展的产业更新路径。一是实施IP全民共创计划。借第九届“石湖串月”民俗文化活动，推出“谷系列·石湖串月IP形象创意设计征集大赛”，将范成大、石湖串月、中秋等本土文化符号开放共创，打造涵盖品牌视觉VI、原创IP形象双载体的“石湖串月”品牌体系，从130份参赛作品中孵化出“范先生”IP及冰箱贴、挂件、油纸伞等衍生文创。二是建设OPC社区集群。街道已打造7家OPC社区，既有扎根文化创意的内容型社区，也有聚焦垂直产业的专业型社区，形成错位发展生态；以百年丝厂更新为复合型创意园区，聚焦AIGC创作、数字艺术、文化科技赛道，同步打造OPC社区，并举办“超级智能体大会·苏州站”发布“OPC支持计划”。三是完善创业服务载体。活动现场揭牌OPC特色家门口就业服务站，覆盖运河能谷、一丝厂、美地PARK三大载体，面向青年创业者和OPC社群提供政策咨询、创业辅导、资源对接、项目孵化一站式服务；运河能谷科技助残OPC孵化基地作为全国首家“AI+科技助残”专业载体，6000余平方米空间已集聚24家科技助残OPC项目。四是出台政策“大礼包”。当天上线姑苏区《OPC创业指引手册》，归集七大类创新创业扶持举措，包含审批登记、创业支持、算力词元供给等硬核支撑，兼顾安居就业等人文关怀，为青年创客筑牢全维度政策与资源支撑。</w:t>
      </w:r>
    </w:p>
    <w:p>
      <w:pPr>
        <w:spacing w:lineRule="exact" w:line="560" w:before="40"/>
      </w:pPr>
      <w:r>
        <w:rPr>
          <w:rFonts w:ascii="仿宋_GB2312" w:hAnsi="仿宋_GB2312" w:eastAsia="仿宋_GB2312"/>
          <w:sz w:val="32"/>
        </w:rPr>
        <w:t>（信息来源：新华日报9月30日《当文化“范”撞上OPC》  https://xh.xhby.net/pc/con/202609/30/content_1594343.html）</w:t>
      </w:r>
    </w:p>
    <w:p>
      <w:pPr>
        <w:spacing w:lineRule="exact" w:line="560" w:before="200" w:after="80"/>
      </w:pPr>
      <w:r>
        <w:rPr>
          <w:rFonts w:ascii="黑体" w:hAnsi="黑体" w:eastAsia="黑体"/>
          <w:b/>
          <w:sz w:val="32"/>
        </w:rPr>
        <w:t>3、中共湖北省委关于高水平建设武汉区域科技创新中心 加快建成中部地区崛起重要战略支点的实施意见</w:t>
      </w:r>
    </w:p>
    <w:p>
      <w:pPr>
        <w:spacing w:lineRule="exact" w:line="560" w:after="40"/>
        <w:ind w:firstLine="640"/>
      </w:pPr>
      <w:r>
        <w:rPr>
          <w:rFonts w:ascii="仿宋_GB2312" w:hAnsi="仿宋_GB2312" w:eastAsia="仿宋_GB2312"/>
          <w:sz w:val="32"/>
        </w:rPr>
        <w:t>湖北省委十二届十二次全会通过《关于高水平建设武汉区域科技创新中心 加快建成中部地区崛起重要战略支点的实施意见》。一是建强国家战略科技力量。高水平建设全国重点实验室和湖北实验室，构建梯次衔接、运转高效的实验室体系；支持武汉大学、华中科技大学等“双一流”建设，加快创建新型研究型大学；完善“重大科技基础设施+产业转化+城市配套”模式，推动大科学装置加快建设与集约利用。二是全面强化基础研究。推动基础研究投入、管理和评价机制改革，实施长周期稳定资助和成果评价；设立应用基础研究重大专项，聚焦量子测量与量子计算、脑科学与类脑科学等领域开展有组织研究；完善非共识项目遴选机制，加强颠覆性技术布局，构建重大成果接续支持机制。三是加快关键核心技术攻关。积极参与国家科技重大专项，部署实施省重大科技攻关任务，在光电子、智能制造等方向持续突破；推进人工智能赋能科学研究，加快科学大模型和智能化工具研发应用，以武汉光谷为先导打造具有全国影响力的科技创新高地。四是统筹多维创新。一体推进科技创新、产业创新、金融创新、区域创新、开放创新和治理创新；发挥武汉都市圈重要载体作用，吸引海内外优秀人才、成果、机构、企业到湖北，健全符合科研规律和人才成长规律的分类评价体系，建强技术经理人队伍，构建优质高效科技服务体系，加快建成中部地区崛起重要战略支点。</w:t>
      </w:r>
    </w:p>
    <w:p>
      <w:pPr>
        <w:spacing w:lineRule="exact" w:line="560" w:before="40"/>
      </w:pPr>
      <w:r>
        <w:rPr>
          <w:rFonts w:ascii="仿宋_GB2312" w:hAnsi="仿宋_GB2312" w:eastAsia="仿宋_GB2312"/>
          <w:sz w:val="32"/>
        </w:rPr>
        <w:t>（信息来源：湖北日报9月30日《中共湖北省委关于高水平建设武汉区域科技创新中心 加快建成中部地区崛起重要战略支点的实施意见》  https://epaper.hubeidaily.net/pc/content/202609/30/content_359834.html）</w:t>
      </w:r>
    </w:p>
    <w:p>
      <w:pPr>
        <w:spacing w:lineRule="exact" w:line="560" w:before="200" w:after="80"/>
      </w:pPr>
      <w:r>
        <w:rPr>
          <w:rFonts w:ascii="黑体" w:hAnsi="黑体" w:eastAsia="黑体"/>
          <w:b/>
          <w:sz w:val="32"/>
        </w:rPr>
        <w:t>4、更新家底，读懂江苏生态的变与不变</w:t>
      </w:r>
    </w:p>
    <w:p>
      <w:pPr>
        <w:spacing w:lineRule="exact" w:line="560" w:after="40"/>
        <w:ind w:firstLine="640"/>
      </w:pPr>
      <w:r>
        <w:rPr>
          <w:rFonts w:ascii="仿宋_GB2312" w:hAnsi="仿宋_GB2312" w:eastAsia="仿宋_GB2312"/>
          <w:sz w:val="32"/>
        </w:rPr>
        <w:t>江苏省生态环境厅宣布全面启动新一轮生物多样性本底调查工作，在首轮调查基础上“追踪变化、加强保护”。一是构建“双红线”保护体系。江苏在全国率先开展生态保护红线划定，2020年划定生态空间管控区域，创新形成全国唯一的“生态保护红线+生态空间管控区域”双层保护体系；全省生态保护红线总面积达1.82万平方公里，涵盖陆域、海域各类核心生态敏感区域。二是扩容调查类群与范围。新一轮调查从首轮四大类拓展至七大类，新增大型真菌、地衣和苔藓、大中型土壤动物等类群，既关注传统意义上看得见、叫得出名字的物种，也关注过去易忽视但对生态系统运行具重要作用的生物类群，确保“家底”更全面、精准。三是创新保护空间载体。聚焦“四带三区”生态格局，江苏创新打造23个“生态岛”试验区，同步建成171个生态安全缓冲区，通过湿地扩容、植被修复、岸堤整治打通生态断点；沿江8市累计退出生产型岸线84.6公里，生态岸线占比提升至64.5%；新一轮太湖综合治理完成生态修复超4万亩。四是升级智慧监测系统。省环科院升级生物多样性智慧管理系统，建立“市县填报—省级审核—统一入库”数据汇交机制；广泛应用DNA条形码、人工智能识别等技术，采用鸟类声纹监测构建“采集—传输—识别—入库”全流程自动化体系，全省10余个设区市已部署超60台声纹设备，累计获取近50万条声纹数据，智能识别鸟类200余种。</w:t>
      </w:r>
    </w:p>
    <w:p>
      <w:pPr>
        <w:spacing w:lineRule="exact" w:line="560" w:before="40"/>
      </w:pPr>
      <w:r>
        <w:rPr>
          <w:rFonts w:ascii="仿宋_GB2312" w:hAnsi="仿宋_GB2312" w:eastAsia="仿宋_GB2312"/>
          <w:sz w:val="32"/>
        </w:rPr>
        <w:t>（信息来源：新华日报9月30日《更新家底，读懂江苏生态的变与不变》  https://xh.xhby.net/pc/con/202609/30/content_1594332.html）</w:t>
      </w:r>
    </w:p>
    <w:p>
      <w:pPr>
        <w:spacing w:lineRule="exact" w:line="560" w:before="200" w:after="80"/>
      </w:pPr>
      <w:r>
        <w:rPr>
          <w:rFonts w:ascii="黑体" w:hAnsi="黑体" w:eastAsia="黑体"/>
          <w:b/>
          <w:sz w:val="32"/>
        </w:rPr>
        <w:t>5、一朝入姑苏 满眼是江南</w:t>
      </w:r>
    </w:p>
    <w:p>
      <w:pPr>
        <w:spacing w:lineRule="exact" w:line="560" w:after="40"/>
        <w:ind w:firstLine="640"/>
      </w:pPr>
      <w:r>
        <w:rPr>
          <w:rFonts w:ascii="仿宋_GB2312" w:hAnsi="仿宋_GB2312" w:eastAsia="仿宋_GB2312"/>
          <w:sz w:val="32"/>
        </w:rPr>
        <w:t>苏州加快打造具有江南水乡特色的国际旅游目的地，出台系列规划与政策措施。一是完善顶层设计。随着《苏州市加快打造具有江南水乡特色的国际旅游目的地三年行动计划（2026—2028年）》出台及《苏州市“十五五”旅游发展规划》编制，苏州健全“一核两带四区”旅游业布局，建设江南文化深度体验首选地、苏式生活美学典范城市、文旅产业融合发展新高地。二是出台入境游激励措施。《苏州市促进入境旅游若干措施》从引客入苏、拓展渠道、优化服务3方面推出9条激励政策，提升入境游便利度。三是集中发布特色场景。“烟火市集·姑苏早点来”“舟游江南·东方水城”“光影夜游·夜周庄”“非遗美食·蟹逅阳澄”等15个2026苏州入境游特色场景集中亮相，涵盖市井烟火、水乡漫游、工业遗产、运动休闲等类型。四是推动文化科技融合。建成国内规模最大的丝绸纹样数据库，已数字化采集丝绸纹样素材5万余个，纹样可流通、可交易、可授权；拙政园“拙政问雅”沉浸式夜间游园项目依托声、光、电、影融合昆曲、苏绣等非遗，入选省文旅厅2026年智慧旅游沉浸式体验新空间推介案例；第十五届苏州文化创意设计产业交易博览会吸引全球40余个国家和地区、超500家企业参展。五是引入产业资本。中影在常熟注册江南公司，将共建影视IP场景、共创AI文旅体验、共育产业生态；康泰纳仕集团将2026 VOGUE时尚之力盛会落地苏州，做实国际传播与产业赋能。</w:t>
      </w:r>
    </w:p>
    <w:p>
      <w:pPr>
        <w:spacing w:lineRule="exact" w:line="560" w:before="40"/>
      </w:pPr>
      <w:r>
        <w:rPr>
          <w:rFonts w:ascii="仿宋_GB2312" w:hAnsi="仿宋_GB2312" w:eastAsia="仿宋_GB2312"/>
          <w:sz w:val="32"/>
        </w:rPr>
        <w:t>（信息来源：新华日报9月30日《一朝入姑苏 满眼是江南》  https://xh.xhby.net/pc/con/202609/30/content_1594258.html）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