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 w:val="0"/>
          <w:sz w:val="32"/>
        </w:rPr>
        <w:t>媒体信息摘报</w:t>
      </w:r>
    </w:p>
    <w:p>
      <w:pPr>
        <w:jc w:val="center"/>
      </w:pPr>
      <w:r>
        <w:rPr>
          <w:rFonts w:ascii="仿宋_GB2312" w:hAnsi="仿宋_GB2312" w:eastAsia="仿宋_GB2312"/>
          <w:b w:val="0"/>
          <w:sz w:val="28"/>
        </w:rPr>
        <w:t>2026年9月16日</w:t>
      </w:r>
    </w:p>
    <w:p/>
    <w:p>
      <w:pPr>
        <w:spacing w:lineRule="exact" w:line="560"/>
      </w:pPr>
      <w:r>
        <w:rPr>
          <w:rFonts w:ascii="仿宋_GB2312" w:hAnsi="仿宋_GB2312" w:eastAsia="仿宋_GB2312"/>
          <w:b/>
          <w:sz w:val="32"/>
        </w:rPr>
        <w:t>1．兴化乡镇"共建园区"谋"共富"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江苏兴化市把乡镇作为县域经济发展的根本，以"强镇"项目建设为引领，打通乡镇从"节点"到"引擎"的跃升路径，主要做法如下。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一是深化"飞地"招商模式。通过构建协同招商队伍、深化飞地收益返还机制，促进优质项目向开发区集聚、发展收益向乡镇辐射传导，千垛镇招引的乾阳车业落户兴化经济开发区。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二是深化"两区"带动机制。戴南镇（兴化高新区）联动沈伦、陶庄、周庄、竹泓四镇探索共建园区路径，明确"优势互补、产业外溢、链条共建"导向，引导周庄重点承接合金新材料、精密铸造项目，陶庄聚焦电热电气、电力装备特色产业，沈伦聚焦不锈钢及金属新材料细分赛道、发展林果产业深加工，竹泓布局食品加工等配套产业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三是构建"市投、镇管、民营"机制统筹推进分布式光伏项目，把"阳光收益"变成"强镇红利"。目前已建成运营项目装机容量25兆瓦，在建55兆瓦，另有约30兆瓦开展项目前期准备。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四是实施"十镇、百点、千人"富民计划。依托朵爱鞋业在10个乡镇设立100个村级富民工坊、吸纳1000名灵活就业人员，实现兴企、强镇、兴村、富民良性循环，全市已建成"共富工坊"近50个。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五是强化园区服务保障。由园区组建项目服务专班，跟进企业手续办理与建设推进，推动优质项目如期竣工投产，为乡镇共建园区提供支撑。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（信息来源：新华日报 2026年9月16日）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原文标题及链接：兴化乡镇"共建园区"谋"共富"</w:t>
      </w:r>
    </w:p>
    <w:p>
      <w:pPr>
        <w:spacing w:lineRule="exact" w:line="560"/>
        <w:ind w:firstLine="640"/>
      </w:pPr>
      <w:hyperlink r:id="rId9">
        <w:r>
          <w:rPr>
            <w:rFonts w:ascii="仿宋_GB2312" w:eastAsia="仿宋_GB2312"/>
            <w:sz w:val="32"/>
            <w:color w:val="0000FF"/>
            <w:u w:val="single"/>
          </w:rPr>
          <w:t xml:space="preserve">https://xh.xhby.net/pc/con/202609/16/content_1590067.html</w:t>
        </w:r>
      </w:hyperlink>
    </w:p>
    <w:p/>
    <w:p>
      <w:pPr>
        <w:spacing w:lineRule="exact" w:line="560"/>
      </w:pPr>
      <w:r>
        <w:rPr>
          <w:rFonts w:ascii="仿宋_GB2312" w:hAnsi="仿宋_GB2312" w:eastAsia="仿宋_GB2312"/>
          <w:b/>
          <w:sz w:val="32"/>
        </w:rPr>
        <w:t>2．"制器之器"升级，关键在链上——看江苏工业母机产业如何进阶提升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江苏围绕需求、研发、制造、应用、资本全链条，系统性探索工业母机产业进阶提升的路径，主要做法如下。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一是走"软硬协同"破局路线。企业一边深耕航空发动机加工工业软件，一边自建70台五轴加工中心零部件产线，形成软件研发与零部件制造双向迭代闭环，并与省内30余家机床企业协同开发绘图式工艺系统、数字孪生配套软件，降低本土整机企业智能化改造成本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二是建设工业母机数据集与公共数据底座。智能制造龙城实验室发布工业母机中试验证高质量数据集建设项目，牵头组建省内先行先试联合体，参与国家行业数据标准制定；南京理工大学启动工业母机功能部件高质量数据集联合体计划，聚焦丝杠、导轨、主轴、刀库等七大核心部件搭建国产数据库，两大平台错位互补，打通行业数据壁垒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三是依托专利导航开展规避设计、二次创新。专利导航报告明确研发热点集中于滚动导轨、高精度主轴、直线电机、滚珠丝杠、智能控制五大方向，引导企业在细分领域持续攻关。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四是构建"需—研—制—验"省内闭环。终端企业与机床企业共建实验室、联合攻关特种加工装备，形成"本地场景、本地验证、本地迭代"模式。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五是强化协同机制。省级工业母机产业联盟揭牌，汇聚17家副理事长单位，覆盖重点企业、高校、实验室、投资机构，并组建专家委员会；组建首期规模150亿元的国家级工业母机产业投资基金。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（信息来源：新华日报 2026年9月16日）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原文标题及链接："制器之器"升级，关键在链上——看江苏工业母机产业如何进阶提升</w:t>
      </w:r>
    </w:p>
    <w:p>
      <w:pPr>
        <w:spacing w:lineRule="exact" w:line="560"/>
        <w:ind w:firstLine="640"/>
      </w:pPr>
      <w:hyperlink r:id="rId10">
        <w:r>
          <w:rPr>
            <w:rFonts w:ascii="仿宋_GB2312" w:eastAsia="仿宋_GB2312"/>
            <w:sz w:val="32"/>
            <w:color w:val="0000FF"/>
            <w:u w:val="single"/>
          </w:rPr>
          <w:t xml:space="preserve">https://xh.xhby.net/pad/con/202609/16/content_1590108.html</w:t>
        </w:r>
      </w:hyperlink>
    </w:p>
    <w:p/>
    <w:p>
      <w:pPr>
        <w:spacing w:lineRule="exact" w:line="560"/>
      </w:pPr>
      <w:r>
        <w:rPr>
          <w:rFonts w:ascii="仿宋_GB2312" w:hAnsi="仿宋_GB2312" w:eastAsia="仿宋_GB2312"/>
          <w:b/>
          <w:sz w:val="32"/>
        </w:rPr>
        <w:t>3．当重力场遇见轻代码 制造与AI的"双向奔赴"在长沙经开区落地生金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湖南长沙经开区围绕"人工智能+制造"双向赋能，以制度化场景开放和扶持机制与企业结成"创新共同体"，主要做法如下。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一是制度化开放应用场景。今年印发《关于拓展"人工智能+"应用场景的实施方案（2026—2028年）》，持续采用"揭榜挂帅"机制，把场景需求清单化、项目化，鼓励特色优势企业牵头建设场景；八大揭榜方向覆盖从底层技术到终端应用的全链条，验收通过的项目享受政策优先、基金优先、场景优先、订单优先、人才优先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二是推动企业从小切口切入真实产线。以无人挖掘机为例，从港口相对规整的装卸作业起步，先远程控制、再到部分场景半自主施工。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三是构建梯次化培育体系。智能工厂按基础级、先进级、卓越级、领航级四个梯度培育，企业可对号入座；依托前期数字化转型资源池聚集的60家省级智能制造服务商，带动一批新势力成为AI应用服务商，与中小企业协同推进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四是打通"研发—制造—测试—场景"全链条。中国信通院中南研究院、湖南具身智能创新中心、湖南国重智联工程机械研究院、上海技术交易所中南中心、中南大学人工智能产业基地等公共服务平台相继启用，在鸿蒙+人工智能、人工智能+应急装备、具身智能重型装备等细分赛道发力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五是深化协同攻关与人才培养。龙头企业联合通信企业攻关"鸿蒙+矿山"场景，计划与省内矿山企业合作打造真实测试场；"星火铸芯·鸿蒙聚才"计划力争通过政校企协同培养鸿蒙开发人才10000人以上。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（信息来源：湖南日报 2026年9月16日）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原文标题及链接：当重力场遇见轻代码 制造与AI的"双向奔赴"在长沙经开区落地生金</w:t>
      </w:r>
    </w:p>
    <w:p>
      <w:pPr>
        <w:spacing w:lineRule="exact" w:line="560"/>
        <w:ind w:firstLine="640"/>
      </w:pPr>
      <w:hyperlink r:id="rId11">
        <w:r>
          <w:rPr>
            <w:rFonts w:ascii="仿宋_GB2312" w:eastAsia="仿宋_GB2312"/>
            <w:sz w:val="32"/>
            <w:color w:val="0000FF"/>
            <w:u w:val="single"/>
          </w:rPr>
          <w:t xml:space="preserve">https://changsha.voc.com.cn/news/202609/33762800.html</w:t>
        </w:r>
      </w:hyperlink>
    </w:p>
    <w:p/>
    <w:p>
      <w:pPr>
        <w:spacing w:lineRule="exact" w:line="560"/>
      </w:pPr>
      <w:r>
        <w:rPr>
          <w:rFonts w:ascii="仿宋_GB2312" w:hAnsi="仿宋_GB2312" w:eastAsia="仿宋_GB2312"/>
          <w:b/>
          <w:sz w:val="32"/>
        </w:rPr>
        <w:t>4．"轻嵩办"服务落到产业链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云南嵩明县创新实施"轻嵩办"专员行动，把服务落在产业链上，以服务提速护航项目落地与产业集聚，主要做法如下。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一是依托产业链专班工作机制配置服务专员。由各产业链链长、副链长、专班组长及成员担任"轻嵩办"服务专员，按照一链专人、定岗定责原则配置，全程专职服务对应产业链；专员常态化走访链内企业，动态更新企业台账与产业链信息库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二是推行服务前置。在企业尚在意向洽谈、还未拿地的阶段，服务专员即联合属地供电所提前介入，召开用电保障前置服务现场解答会，提前给出电源接入点初步方案。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三是把监督哨设到产业链上。县纪委监委搭建诉求直达通道，针对企业产能缺口、配套协作难题下发工作提示函，压实部门责任、划定整改时限、细化任务台账；对生物医药、康养文旅等特色产业开展营商环境专项监督，聚焦项目落地、要素保障、供需对接、惠企政策兑现四大关键环节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四是窗口既接件也"吹哨"。将政务服务中心综合窗口和惠企服务专区人员纳入专员队伍，记录企业反映的流程堵点、材料难点并推送审批部门，推动住建、自然资源、水务等部门整合分散验收环节，实行一次申请、统一踏勘、并联审批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五是推进流程再造。推行"验登合一"改革，把权籍调查、测绘落宗前置到施工收尾阶段；落实首席服务专员制度，对重大项目实行从签约、选址、建设到投产的全生命周期包联服务；编制《"一码导航"政策汇编》，公布60余项"免申即享"政策，发布两批"立等可取"事项清单累计214项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（信息来源：云南日报 2026年9月16日）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原文标题及链接："轻嵩办"服务落到产业链</w:t>
      </w:r>
    </w:p>
    <w:p>
      <w:pPr>
        <w:spacing w:lineRule="exact" w:line="560"/>
        <w:ind w:firstLine="640"/>
      </w:pPr>
      <w:hyperlink r:id="rId12">
        <w:r>
          <w:rPr>
            <w:rFonts w:ascii="仿宋_GB2312" w:eastAsia="仿宋_GB2312"/>
            <w:sz w:val="32"/>
            <w:color w:val="0000FF"/>
            <w:u w:val="single"/>
          </w:rPr>
          <w:t xml:space="preserve">https://k.sina.com.cn/article_7517400647_1c0126e47059098mfu.html</w:t>
        </w:r>
      </w:hyperlink>
    </w:p>
    <w:p/>
    <w:p>
      <w:pPr>
        <w:spacing w:lineRule="exact" w:line="560"/>
      </w:pPr>
      <w:r>
        <w:rPr>
          <w:rFonts w:ascii="仿宋_GB2312" w:hAnsi="仿宋_GB2312" w:eastAsia="仿宋_GB2312"/>
          <w:b/>
          <w:sz w:val="32"/>
        </w:rPr>
        <w:t>5．靶向招商蓄势能 服务提质启新程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云南蒙自经开区、红河综保区以"一号工程""一把手工程"抓招商引资，建立项目全生命周期管理服务工作机制，推动招商引资从重签约向重落地、重投产、重运营转变，主要做法如下。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一是链式培育产业。深入分析梳理园区产业基础、核心优势与发展短板，细化各产业主攻方向，持续完善产业链图谱，靶向引进龙头型、配套型、创新型项目，采取驻点招商、小分队招商等模式，推动招商工作从单点招引的点状突破转向产业培育的链式发展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二是明确"一主三新一辅"产业体系。以有色金属及新材料为主导，以消费电子及零部件、先进装备制造、生物制造三个战略性新兴产业为支撑，以商贸物流等生产性服务业为辅助，并谋划布局锡铟材料产业园、PCB产业园、绿色铝精深加工产业园等园中园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三是发挥链主企业引领作用。依托云锡股份、云铝股份、深圳惠科等链主企业，持续完善上下游配套，延链、补链、强链，逐步形成锡、铟、铜、铝、铅锌等多条有色金属及新材料产业链。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四是组建专属项目服务专班。坚持"政府围着企业转、企业有事马上办"，全面落实预审前置、要素前置、解难前置，联动自然资源、政务服务、市场监管、金融机构等部门开通审批绿色通道，推行并联审批、全程帮办代办，对重点签约项目实行专人跟踪、每周调度、每月通报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五是开展"访企业送政策听诉求解难题促发展"主题活动，全面摸排企业发展实情，建立企业诉求问题交办机制，分类完善企业服务清单，开展闭环式办理服务。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（信息来源：云南日报 2026年9月16日）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原文标题及链接：靶向招商蓄势能 服务提质启新程</w:t>
      </w:r>
    </w:p>
    <w:p>
      <w:pPr>
        <w:spacing w:lineRule="exact" w:line="560"/>
        <w:ind w:firstLine="640"/>
      </w:pPr>
      <w:hyperlink r:id="rId13">
        <w:r>
          <w:rPr>
            <w:rFonts w:ascii="仿宋_GB2312" w:eastAsia="仿宋_GB2312"/>
            <w:sz w:val="32"/>
            <w:color w:val="0000FF"/>
            <w:u w:val="single"/>
          </w:rPr>
          <w:t xml:space="preserve">https://k.sina.com.cn/article_7517400647_1c0126e47059098mdg.html</w:t>
        </w:r>
      </w:hyperlink>
    </w:p>
    <w:sectPr w:rsidR="00FC693F" w:rsidRPr="0006063C" w:rsidSect="00034616">
      <w:pgSz w:w="12240" w:h="15840"/>
      <w:pgMar w:top="2098" w:right="1474" w:bottom="198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xh.xhby.net/pc/con/202609/16/content_1590067.html" TargetMode="External"/><Relationship Id="rId10" Type="http://schemas.openxmlformats.org/officeDocument/2006/relationships/hyperlink" Target="https://xh.xhby.net/pad/con/202609/16/content_1590108.html" TargetMode="External"/><Relationship Id="rId11" Type="http://schemas.openxmlformats.org/officeDocument/2006/relationships/hyperlink" Target="https://changsha.voc.com.cn/news/202609/33762800.html" TargetMode="External"/><Relationship Id="rId12" Type="http://schemas.openxmlformats.org/officeDocument/2006/relationships/hyperlink" Target="https://k.sina.com.cn/article_7517400647_1c0126e47059098mfu.html" TargetMode="External"/><Relationship Id="rId13" Type="http://schemas.openxmlformats.org/officeDocument/2006/relationships/hyperlink" Target="https://k.sina.com.cn/article_7517400647_1c0126e47059098md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