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560" w:after="240" w:before="0"/>
        <w:ind w:firstLine="0"/>
        <w:jc w:val="center"/>
      </w:pPr>
      <w:r>
        <w:rPr>
          <w:rFonts w:ascii="黑体" w:hAnsi="黑体" w:eastAsia="黑体"/>
          <w:b/>
          <w:sz w:val="32"/>
        </w:rPr>
        <w:t>10月14日媒体信息摘报</w:t>
      </w:r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1．山东锚定“人工智能+制造”主赛道 以垂直大模型“专而精”推动产业落地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山东省立足工业门类齐全比较优势，锚定“人工智能+制造”主赛道，走垂直领域大模型“专而精”发展路线，以清单化治理推动AI深度嵌入产业腹地。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发布“双百清单”明确主攻方向。今年7月公布首批100个重点建设“AI+制造”应用场景和100个重点推广垂直领域大模型名单，从面向16市征集的千余个选项中筛出，聚焦行业痛点与企业转型诉求，具备跨企业推广价值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二是省级财政资金精准滴灌。省财政三年统筹引导超100亿元投向人工智能赋能制造业领域，设立“模型券”支持垂直领域大模型研发、“场景券”支持智能制造标杆项目落地，改变“撒胡椒面”式扶持。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建立“揭榜挂帅+赛马”机制。摸排19条标志性产业链，梳理六大生产环节、18类高价值工业场景对外发布需求清单，允许多家团队、多条技术路线并行进场、同一场景方案PK，按落地成效分档奖补，优胜留存、落后者退出。</w:t>
      </w:r>
      <w:r>
        <w:br/>
      </w:r>
      <w:r>
        <w:rPr>
          <w:rFonts w:ascii="仿宋_GB2312" w:hAnsi="仿宋_GB2312" w:eastAsia="仿宋_GB2312"/>
          <w:b w:val="0"/>
          <w:sz w:val="32"/>
        </w:rPr>
        <w:t>四是构建公共底座与生态协同。依托工信部智算云服务试点、国家人工智能应用中试基地等高能级平台，整合算力供给、数据治理、模型训练、安全管理于一体的创新服务体系；截至今年9月已产生122个工业大模型，实现41个工业大类全覆盖，建成产业大脑130个、晨星工厂5657家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（信息来源：大众日报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原文标题及链接：不追“通用”风口，山东大模型为何一头扎进矿井和码头？</w:t>
      </w:r>
    </w:p>
    <w:p>
      <w:pPr>
        <w:spacing w:lineRule="exact" w:line="560" w:after="200" w:before="0"/>
        <w:ind w:firstLine="0"/>
      </w:pPr>
      <w:hyperlink r:id="rId9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https://www.toutiao.com/article/7696298020459135488/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2．浙江台州以数智技术赋能传统缝制设备 探索“老树发新芽”升级路径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浙江台州作为“中国缝制设备制造之都”，将前沿技术融入传统产线，探索传统产业数智焕新、集群出海的升级路径，印证新质生产力可在传统产业沃土中生根。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智能装备重塑产品竞争力。当地企业自研芯片自动识别面料厚薄，搭载AI视觉系统精准捕捉手势，人形机器人独立完成均匀走线，“快反王”设备使工作效率提升30%，推动缝纫机从“铁疙瘩”升级为“智能终端”，相关报道经央视播出后冲上热搜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全产业链协同构筑集群优势。台州聚集1500多家缝制装备相关企业，覆盖整机、零部件到数字化系统，形成完整产业生态，从卖产品转向卖解决方案、从输出硬件转向打包软件，通过强链补链延链激活“集群出海”新动能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三是坚持融合式“向新而行”导向。当地摒弃断裂式“弃旧图新”，将技术“揉”进传统产线，证明传统产业是新质生产力的土壤而非“绝缘体”，以“技术—场景”双向匹配锻造不可替代的竞争优势。</w:t>
      </w:r>
      <w:r>
        <w:br/>
      </w:r>
      <w:r>
        <w:rPr>
          <w:rFonts w:ascii="仿宋_GB2312" w:hAnsi="仿宋_GB2312" w:eastAsia="仿宋_GB2312"/>
          <w:b w:val="0"/>
          <w:sz w:val="32"/>
        </w:rPr>
        <w:t>台州每年近400万台缝制设备销往100多个国家和地区；2026年上半年中国缝制机械产品累计出口额20.53亿美元，同比增长2.69%。台州缝制设备产业从“夕阳产业”标签中突围，依托数智赋能与集群协同，为中国传统制造业转型升级提供鲜活样本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（信息来源：浙江日报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原文标题及链接：把新技术“缝”进传统产业中</w:t>
      </w:r>
    </w:p>
    <w:p>
      <w:pPr>
        <w:spacing w:lineRule="exact" w:line="560" w:after="200" w:before="0"/>
        <w:ind w:firstLine="0"/>
      </w:pPr>
      <w:hyperlink r:id="rId10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https://www.toutiao.com/article/7696297626832011839/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3．江苏发挥“一带一路”交汇点优势 推动企业从“产品出海”向“全链出海”跃升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江苏发挥“一带一路”交汇点优势，在贸易往来、产能合作、综合服务三个维度持续深耕，推动开放型经济从“产品出海”向“品牌出海”“全链出海”跃升。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搭建双向贸易平台畅通渠道。落地中国—中亚贸易畅通合作平台，设立江苏中亚中心与中亚江苏中心，组织“江苏优品行全球”“江苏品牌产品丝路行”等贸易促进活动，支持企业触网升级、用好跨境电商开拓国际市场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推动产能合作从单点向链条输出。建设中阿（联酋）产能合作示范园、苏锡常国际产能合作示范城市，莱赛尔纤维项目规划总投资110亿元、二期单线产能7.5万吨刷新世界纪录；徐工集团在共建国家设立研发中心与产品经理队伍，实现从销售产品到产业链、供应链、价值链整体输出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政策服务从“企业找政策”转向“政策找企业”。出台外贸稳增长22条、稳外贸稳就业12条、稳外资22条，在全国率先编制《企业内外贸一体化标准衔接指南》；建立政企月度对接机制与“全程相伴”江苏走出去综合服务平台，提供项目备案、法律咨询、风险预警等线上服务，政策性出口信保“十四五”以来支持对共建国家出口投资2000多亿美元。</w:t>
      </w:r>
      <w:r>
        <w:br/>
      </w:r>
      <w:r>
        <w:rPr>
          <w:rFonts w:ascii="仿宋_GB2312" w:hAnsi="仿宋_GB2312" w:eastAsia="仿宋_GB2312"/>
          <w:b w:val="0"/>
          <w:sz w:val="32"/>
        </w:rPr>
        <w:t>今年前7个月，江苏对共建“一带一路”国家进出口2.22万亿元，增长35.2%，占全省进出口比重提升至53.2%。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（信息来源：新华日报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原文标题及链接：苏企全球化新叙事：单点突破到全链出海</w:t>
      </w:r>
    </w:p>
    <w:p>
      <w:pPr>
        <w:spacing w:lineRule="exact" w:line="560" w:after="200" w:before="0"/>
        <w:ind w:firstLine="0"/>
      </w:pPr>
      <w:hyperlink r:id="rId11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https://xh.xhby.net/pc/con/202610/14/content_1596932.html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4．陕西“专精特新”专板咸阳专区上线 探索资本市场服务下沉新模式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陕西“专精特新”专板咸阳专区近日上线，系全省首个地市专属专区，创新探索资本市场服务下沉、精准赋能地市产业发展的新模式。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明确平台核心功能定位。专板是资本市场梯度培育中小企业专精特新发展的重要平台，由陕西股权交易中心建设运营，确立“政策汇聚、资本对接、规范培育、上市孵化”四大核心功能，让区域内企业“足不出户”即可获得高水平、全方位的上市孵化培育。去年陕西“专精特新”专板开板，咸阳专区作为首个下沉地市专区，承接并延伸其政策汇聚、资本对接等核心功能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二是实现资本市场服务属地化下沉。咸阳专区由咸阳市工信局、金融协调服务中心主办，陕西股权交易中心、民生银行咸阳分行承办，打通融资与规范培育“最后一公里”，使专精特新企业就近对接资本市场。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形成可复制的分层服务体系。省工信厅介绍，该专区创新探索资本市场服务下沉、精准赋能地市产业发展新模式，为各市搭建属地化企业培育平台、完善分层服务体系发挥示范引领作用，助力咸阳市深化国家产融合作试点城市建设，服务“十五五”工业经济高质量发展。</w:t>
      </w:r>
      <w:r>
        <w:br/>
      </w:r>
      <w:r>
        <w:rPr>
          <w:rFonts w:ascii="仿宋_GB2312" w:hAnsi="仿宋_GB2312" w:eastAsia="仿宋_GB2312"/>
          <w:b w:val="0"/>
          <w:sz w:val="32"/>
        </w:rPr>
        <w:t>咸阳专区于10月10日举办上线暨企业挂牌仪式；陕西股权交易中心为省内唯一合法的区域性股权市场运营机构。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（信息来源：陕西日报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原文标题及链接：陕西“专精特新”专板咸阳专区上线</w:t>
      </w:r>
    </w:p>
    <w:p>
      <w:pPr>
        <w:spacing w:lineRule="exact" w:line="560" w:after="200" w:before="0"/>
        <w:ind w:firstLine="0"/>
      </w:pPr>
      <w:hyperlink r:id="rId12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https://k.sina.com.cn/article_7517400647_1c0126e4705909c3jk.html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5．广州印发“园区贷”实施方案 打造可复制园区金融服务样板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广州市委金融办等部门联合印发《广州推行“园区贷”实施方案》，按照“政府搭台、园区承载、机构服务、企业受益”总体思路，围绕四大方向提出10项任务，聚合金融资源为培育新质生产力、建设现代化产业体系注入动能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突出主办银行牵头作用。推动积极性高、产业金融服务能力强的银行作为产业园区主办银行，量身定制专项金融服务方案，优化科技支行等特色机构布局，落实尽职免责、合理设定风险容忍度，组建“懂金融又懂产业”的专业服务团队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构建“贷股债担保租”六位一体体系。由主办银行联合基金、投资机构、证券公司等非银机构及园区运营方，分层分类匹配企业不同成长阶段金融需求，探索投贷联动、打造“股贷保”组合产品，依托广东区域性股权市场推广“认股权+园区”模式，支持成立园区综合金融服务中心打通落地“最后一公里”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数据赋能破解轻资产融资难。依托广州市“信易贷”等平台，在依法合规与企业授权前提下推动园区企业经营管理、研发投入、知识产权等信息共享，推动信贷理念从侧重固定资产抵押的“看砖头”向“看人头”“看势头”转变。</w:t>
      </w:r>
      <w:r>
        <w:br/>
      </w:r>
      <w:r>
        <w:rPr>
          <w:rFonts w:ascii="仿宋_GB2312" w:hAnsi="仿宋_GB2312" w:eastAsia="仿宋_GB2312"/>
          <w:b w:val="0"/>
          <w:sz w:val="32"/>
        </w:rPr>
        <w:t>该方案为2025年4月推出的“益企共赢计划”进园区延伸，初期优先选取产业集聚度高、运营管理良好的园区试点，截至2026年9月末该计划累计签约企业超1600户、金额超560亿元。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（信息来源：南方都市报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原文标题及链接：四大方向10项任务赋能发展</w:t>
      </w:r>
    </w:p>
    <w:p>
      <w:pPr>
        <w:spacing w:lineRule="exact" w:line="560" w:after="200" w:before="0"/>
        <w:ind w:firstLine="0"/>
      </w:pPr>
      <w:hyperlink r:id="rId13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https://epaper.oeeee.com/epaper/G/html/2026-10/14/content_8936.htm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outiao.com/article/7696298020459135488/" TargetMode="External"/><Relationship Id="rId10" Type="http://schemas.openxmlformats.org/officeDocument/2006/relationships/hyperlink" Target="https://www.toutiao.com/article/7696297626832011839/" TargetMode="External"/><Relationship Id="rId11" Type="http://schemas.openxmlformats.org/officeDocument/2006/relationships/hyperlink" Target="https://xh.xhby.net/pc/con/202610/14/content_1596932.html" TargetMode="External"/><Relationship Id="rId12" Type="http://schemas.openxmlformats.org/officeDocument/2006/relationships/hyperlink" Target="https://k.sina.com.cn/article_7517400647_1c0126e4705909c3jk.html" TargetMode="External"/><Relationship Id="rId13" Type="http://schemas.openxmlformats.org/officeDocument/2006/relationships/hyperlink" Target="https://epaper.oeeee.com/epaper/G/html/2026-10/14/content_893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