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0" w:after="4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Rule="exact" w:line="560" w:before="0" w:after="200"/>
        <w:jc w:val="center"/>
      </w:pPr>
      <w:r>
        <w:rPr>
          <w:rFonts w:ascii="仿宋_GB2312" w:hAnsi="仿宋_GB2312" w:eastAsia="仿宋_GB2312"/>
          <w:b w:val="0"/>
          <w:sz w:val="28"/>
        </w:rPr>
        <w:t>2026年8月12日（省级党报经济·科技·消费创新举措精选·福建省可借鉴）</w:t>
      </w:r>
    </w:p>
    <w:p>
      <w:pPr>
        <w:spacing w:lineRule="exact" w:line="560" w:before="120" w:after="80"/>
      </w:pPr>
      <w:r>
        <w:rPr>
          <w:rFonts w:ascii="黑体" w:hAnsi="黑体" w:eastAsia="黑体"/>
          <w:b/>
          <w:sz w:val="32"/>
        </w:rPr>
        <w:t>1. 县域经济发展有了“空间说明书”</w:t>
      </w:r>
    </w:p>
    <w:p>
      <w:pPr>
        <w:spacing w:lineRule="exact" w:line="560" w:before="0" w:after="80"/>
      </w:pPr>
      <w:r>
        <w:rPr>
          <w:rFonts w:ascii="仿宋_GB2312" w:hAnsi="仿宋_GB2312" w:eastAsia="仿宋_GB2312"/>
          <w:b w:val="0"/>
          <w:sz w:val="32"/>
        </w:rPr>
        <w:t>广东省自然资源厅组织厅技术中心搭建“时空智策·领航”系统，把经济社会发展相关数据“装”进覆盖全省超840万个格网，借助人工智能技术分析海量数据，构建起一套坐标化、可量化、可视化的“县域国民经济发展空间说明书”，让数据自己“开口说话”。具体做法如下：一是统一数据“语言”打通孤岛。将生态环境、人口分布、产业发展等部门数据按时间、空间两个维度“对齐颗粒度”，标准化处理后转换到同一套时空体系，打造“时空立方体”。二是构建五大量化指数评价体系。由国土空间利用、生态环境保护、乡村振兴、城镇化、系统协调五大指数组成，让每个县与自身纵向比，精准识别潜力与短板，作为“一县一策”基础。三是提供格网到县域双视角决策。系统以约150米×150米格网为最小单元（全省超840万个），用户可在格网与全县视角间切换，不到一分钟输出一份“县域国民经济发展空间说明书”，并可逐层“下钻”呈现运算依据。四是在肇庆四会、江门台山、梅州五华等地试点应用。四会完成全域国土空间“体检”，识别开发与保护等核心冲突并输出“纠偏式治理”方案；台山依托平台辅助决策，推动端芬镇全域土地整治项目落地。</w:t>
      </w:r>
    </w:p>
    <w:p>
      <w:pPr>
        <w:spacing w:lineRule="exact" w:line="560" w:before="0" w:after="160"/>
      </w:pPr>
      <w:r>
        <w:rPr>
          <w:rFonts w:ascii="仿宋_GB2312" w:hAnsi="仿宋_GB2312" w:eastAsia="仿宋_GB2312"/>
          <w:b w:val="0"/>
          <w:sz w:val="32"/>
        </w:rPr>
        <w:t>（信息来源：南方日报8月12日《县域经济发展有了“空间说明书”》  https://epaper.nfnews.com/nfdaily/html/202608/12/content_10178438.html）</w:t>
      </w:r>
    </w:p>
    <w:p>
      <w:pPr>
        <w:spacing w:lineRule="exact" w:line="560" w:before="120" w:after="80"/>
      </w:pPr>
      <w:r>
        <w:rPr>
          <w:rFonts w:ascii="黑体" w:hAnsi="黑体" w:eastAsia="黑体"/>
          <w:b/>
          <w:sz w:val="32"/>
        </w:rPr>
        <w:t>2. 深圳发布优化口岸营商环境“19条”</w:t>
      </w:r>
    </w:p>
    <w:p>
      <w:pPr>
        <w:spacing w:lineRule="exact" w:line="560" w:before="0" w:after="80"/>
      </w:pPr>
      <w:r>
        <w:rPr>
          <w:rFonts w:ascii="仿宋_GB2312" w:hAnsi="仿宋_GB2312" w:eastAsia="仿宋_GB2312"/>
          <w:b w:val="0"/>
          <w:sz w:val="32"/>
        </w:rPr>
        <w:t>深圳市正式印发《深圳市2026年优化口岸营商环境若干措施》，围绕通关便利化、跨境低空物流、跨境电商监管改革等领域，一次性推出19条具体举措。具体做法如下：一是升级口岸通关环境。制定口岸服务保障总体方案，设置APEC专用绿色通道实现参会人员快速通关；规范双语及多语种标识；建立市级口岸综合整治长效机制，重点治理违规拉客、非法揽客、占道经营等问题。二是创新通关监管模式。支持前海综合保税区试点“一线直通、智联监管”模式，允许企业货物先行提离至综保区理货集拼，实现全流程数字化监管；全面推广边检到港“零等待”、离港“零延时”及海事抵港预检等便利制度。三是布局低空与跨境电商。加强深港跨境低空物流协作，探索跨境无人机物流口岸通关查验新模式，推进eVTOL通关监管研究；跨境电商推进“先查验后装运”改革，深化阳光化2.0，完善“商、关、汇、税、贷、保”六位一体监管服务体系。四是完善口岸硬件与消费服务。新皇岗口岸启用并实施“合作查验、一次放行”；公路口岸推行“刷脸”无感通关；新增组合港、内陆港航线5条，力争国际及地区客货运航线达110条；实施“口岸商圈国际化焕新”行动，新设2家进境免税店，探索“电商预购+口岸提货”，升级“深圳AI城市旅行卡”。五是发展邮轮游艇经济与规范收费。推广访问港大型邮轮境外随船查验；扩大游艇自由行水域，建立港澳游艇“两套牌”管理；建立涉企收费监测点，落实查验无问题企业费用免除，精准培育AEO企业10家以上，并在国际贸易“单一窗口”增设“碳足迹认证”专区。</w:t>
      </w:r>
    </w:p>
    <w:p>
      <w:pPr>
        <w:spacing w:lineRule="exact" w:line="560" w:before="0" w:after="160"/>
      </w:pPr>
      <w:r>
        <w:rPr>
          <w:rFonts w:ascii="仿宋_GB2312" w:hAnsi="仿宋_GB2312" w:eastAsia="仿宋_GB2312"/>
          <w:b w:val="0"/>
          <w:sz w:val="32"/>
        </w:rPr>
        <w:t>（信息来源：南方日报8月12日《深圳发布优化口岸营商环境“19条”》  https://epaper.nfnews.com/nfdaily/html/202608/12/content_10178440.html）</w:t>
      </w:r>
    </w:p>
    <w:p>
      <w:pPr>
        <w:spacing w:lineRule="exact" w:line="560" w:before="120" w:after="80"/>
      </w:pPr>
      <w:r>
        <w:rPr>
          <w:rFonts w:ascii="黑体" w:hAnsi="黑体" w:eastAsia="黑体"/>
          <w:b/>
          <w:sz w:val="32"/>
        </w:rPr>
        <w:t>3. AI赋能 材料创新夯实江苏产业底座</w:t>
      </w:r>
    </w:p>
    <w:p>
      <w:pPr>
        <w:spacing w:lineRule="exact" w:line="560" w:before="0" w:after="80"/>
      </w:pPr>
      <w:r>
        <w:rPr>
          <w:rFonts w:ascii="仿宋_GB2312" w:hAnsi="仿宋_GB2312" w:eastAsia="仿宋_GB2312"/>
          <w:b w:val="0"/>
          <w:sz w:val="32"/>
        </w:rPr>
        <w:t>江苏省“AI+新材料”产业联盟在苏州成立，由苏州实验室担任理事长单位，省新材料产业协会与省人工智能学会联合担任秘书处单位，同期举办“制造强省·材料先行”AI+高分子材料研发专题活动。具体做法如下：一是组建高规格联盟矩阵。首批汇聚77家发起单位，涵盖新材料企业、人工智能服务商、高校院所、中试平台、检验检测机构和金融机构，搭建政策互通、技术共研、场景共享的一体化创新平台。二是明确常态化协同机制。联盟坚持需求牵引破解痛点、强化协同联动破除资源壁垒、抓实成果转化打造交流平台，力争促成一批协同项目、转化一批创新成果、落地一批示范场景。三是构建阶梯式政策链条。省工信厅推动从新测推广到产品认定再到应用示范的链条，开展首批次新材料认定；推进全国首个省级层面《江苏省新材料产业发展促进条例》；实施“模数共振”行动计划，统筹推进数据集建设、模型攻关和场景适配。四是推动企业需求与技术方案对接。多家新材料企业带着明确应用场景和具体指标登台提需求（如涂料配方优化、绿色低碳材料、超高速增材制造性能调控）；供给方展示材料大模型、“固态电池材料科学家”系统、AI自动化实验装备、专利情报分析等成体系解决方案，联合建模、现场验证。</w:t>
      </w:r>
    </w:p>
    <w:p>
      <w:pPr>
        <w:spacing w:lineRule="exact" w:line="560" w:before="0" w:after="160"/>
      </w:pPr>
      <w:r>
        <w:rPr>
          <w:rFonts w:ascii="仿宋_GB2312" w:hAnsi="仿宋_GB2312" w:eastAsia="仿宋_GB2312"/>
          <w:b w:val="0"/>
          <w:sz w:val="32"/>
        </w:rPr>
        <w:t>（信息来源：江苏经济报8月12日《AI赋能 材料创新夯实江苏产业底座》  https://jsjjb.xhby.net/pad/con/202608/12/content_1580506.html）</w:t>
      </w:r>
    </w:p>
    <w:p>
      <w:pPr>
        <w:spacing w:lineRule="exact" w:line="560" w:before="120" w:after="80"/>
      </w:pPr>
      <w:r>
        <w:rPr>
          <w:rFonts w:ascii="黑体" w:hAnsi="黑体" w:eastAsia="黑体"/>
          <w:b/>
          <w:sz w:val="32"/>
        </w:rPr>
        <w:t>4. 锚定4万亿！上海软信业“十五五”布局6条新兴赛道</w:t>
      </w:r>
    </w:p>
    <w:p>
      <w:pPr>
        <w:spacing w:lineRule="exact" w:line="560" w:before="0" w:after="80"/>
      </w:pPr>
      <w:r>
        <w:rPr>
          <w:rFonts w:ascii="仿宋_GB2312" w:hAnsi="仿宋_GB2312" w:eastAsia="仿宋_GB2312"/>
          <w:b w:val="0"/>
          <w:sz w:val="32"/>
        </w:rPr>
        <w:t>《上海市软件和信息服务业发展“十五五”规划》8月11日对外公布，提出到2030年把上海软件和信息服务业打造成经济增长“动力源”、AI赋能应用“主阵地”、参与全球竞争“桥头堡”。具体做法如下：一是明确规模目标。产业规模力争达到4万亿元，产业增加值突破1.1万亿元，营收超百亿元企业增至35家。二是实施“百千万”智算集群工程。在松江、临港、青浦等布局打造十万卡级超大规模智算集群，在宝山、浦东、嘉定等布局千卡级智算集群，引导传统数据中心向百卡级边缘智算中心转变，形成“大集群+小集群+边缘算力”梯次供给体系。三是创新算力要素市场化改革。持续探索算力作价入股等新型投资方式，以及“算力资源+应用场景”新招商模式。四是布局6条面向未来的新兴赛道。包括智能体经济、AI游戏、新型终端软件、虚拟现实、原生安全、物理仿真等。五是实施九大工程。推进互联网业、软件业、数字内容、网络安全、云计算、金融科技、工业数智化转型及软件技术研发应用强基、开源创新生态体系建设；其中软件业实施AI+工业软件“百企百项”计划，推广软件按效付费（SaaS）模式，建设工业软件中试验证平台。</w:t>
      </w:r>
    </w:p>
    <w:p>
      <w:pPr>
        <w:spacing w:lineRule="exact" w:line="560" w:before="0" w:after="160"/>
      </w:pPr>
      <w:r>
        <w:rPr>
          <w:rFonts w:ascii="仿宋_GB2312" w:hAnsi="仿宋_GB2312" w:eastAsia="仿宋_GB2312"/>
          <w:b w:val="0"/>
          <w:sz w:val="32"/>
        </w:rPr>
        <w:t>（信息来源：解放日报8月12日《锚定4万亿！上海软信业“十五五”布局6条新兴赛道》  https://www.jfdaily.com/staticsg/res/html/web/newsDetail.html?id=1158766&amp;sid=300）</w:t>
      </w:r>
    </w:p>
    <w:p>
      <w:pPr>
        <w:spacing w:lineRule="exact" w:line="560" w:before="120" w:after="80"/>
      </w:pPr>
      <w:r>
        <w:rPr>
          <w:rFonts w:ascii="黑体" w:hAnsi="黑体" w:eastAsia="黑体"/>
          <w:b/>
          <w:sz w:val="32"/>
        </w:rPr>
        <w:t>5. 最高可贷1亿元 利率低至2.8%</w:t>
      </w:r>
    </w:p>
    <w:p>
      <w:pPr>
        <w:spacing w:lineRule="exact" w:line="560" w:before="0" w:after="80"/>
      </w:pPr>
      <w:r>
        <w:rPr>
          <w:rFonts w:ascii="仿宋_GB2312" w:hAnsi="仿宋_GB2312" w:eastAsia="仿宋_GB2312"/>
          <w:b w:val="0"/>
          <w:sz w:val="32"/>
        </w:rPr>
        <w:t>重庆市知识产权局、重庆金融监管局联合发布《重庆市知识产权质押融资产品清单（2026年版）》和《重庆市知识产权保险产品清单（2026年版）》，为广大创新主体提供知识产权金融服务查询渠道。具体做法如下：一是归集发布两类清单共73个产品。其中质押融资产品28个、知识产权保险产品45个，涵盖“知识产权质押贷”“知信贷”“知识产权海外侵权责任险”“商标被侵权损失保险”“专利密集型产品责任保险”等。二是详细公开产品关键信息。清单逐项列明各产品的借款主体、贷款最高额度、贷款期限、贷款利率、还款方式、产品特色、申请流程及联系方式，方便创新主体自主查询、综合比选。三是提供高额低息质押融资。质押融资产品最高贷款额度达1亿元，企业以依法可转让的注册商标专用权、发明专利权、著作权中的财产权质押即可获授信，贷款最低利率2.8%、最高3.1%，最长期限120个月。四是完善知识产权保险保障。推出“知识产权侵权责任保险”，企事业单位、社会团体、个体工商户等均可投保，对被保险人非故意侵犯载明类型知识产权、被权利人首次索赔依法应承担的经济赔偿责任，由保险机构按约赔付。五是明确服务对象与转化导向。鼓励高校、科研机构、企业、医疗卫生机构等创新主体查阅清单、自主选择适配产品，推动“知产”高效转化为“资产”，为培育新质生产力注入金融活水。</w:t>
      </w:r>
    </w:p>
    <w:p>
      <w:pPr>
        <w:spacing w:lineRule="exact" w:line="560" w:before="0" w:after="160"/>
      </w:pPr>
      <w:r>
        <w:rPr>
          <w:rFonts w:ascii="仿宋_GB2312" w:hAnsi="仿宋_GB2312" w:eastAsia="仿宋_GB2312"/>
          <w:b w:val="0"/>
          <w:sz w:val="32"/>
        </w:rPr>
        <w:t>（信息来源：重庆日报8月12日《最高可贷1亿元 利率低至2.8%》  https://epaper.cqrb.cn/cqrb/2026-08/12/002/content_rb_363015.htm）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