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560" w:lineRule="exact"/>
        <w:jc w:val="center"/>
      </w:pPr>
      <w:r>
        <w:rPr>
          <w:rFonts w:ascii="黑体" w:cs="黑体" w:eastAsia="黑体" w:hAnsi="黑体"/>
          <w:b/>
          <w:bCs/>
          <w:sz w:val="32"/>
          <w:szCs w:val="32"/>
        </w:rPr>
        <w:t xml:space="preserve">媒体信息摘报</w:t>
      </w:r>
    </w:p>
    <w:p>
      <w:pPr>
        <w:spacing w:line="560" w:lineRule="exact"/>
        <w:jc w:val="center"/>
      </w:pPr>
      <w:r>
        <w:rPr>
          <w:rFonts w:ascii="仿宋_GB2312" w:cs="仿宋_GB2312" w:eastAsia="仿宋_GB2312" w:hAnsi="仿宋_GB2312"/>
          <w:sz w:val="32"/>
          <w:szCs w:val="32"/>
        </w:rPr>
        <w:t xml:space="preserve">2026年6月8日</w:t>
      </w:r>
    </w:p>
    <w:p>
      <w:pPr>
        <w:spacing w:line="560" w:lineRule="exact"/>
      </w:pPr>
    </w:p>
    <w:p>
      <w:pPr>
        <w:spacing w:line="560" w:lineRule="exact"/>
      </w:pPr>
      <w:r>
        <w:rPr>
          <w:rFonts w:ascii="黑体" w:cs="黑体" w:eastAsia="黑体" w:hAnsi="黑体"/>
          <w:b/>
          <w:bCs/>
          <w:sz w:val="32"/>
          <w:szCs w:val="32"/>
        </w:rPr>
        <w:t xml:space="preserve">1、华为助力广东打造人工智能融合应用高地</w:t>
      </w:r>
    </w:p>
    <w:p>
      <w:pPr>
        <w:spacing w:line="560" w:lineRule="exact"/>
        <w:ind w:firstLine="640"/>
        <w:jc w:val="both"/>
      </w:pPr>
      <w:r>
        <w:rPr>
          <w:rFonts w:ascii="仿宋_GB2312" w:cs="仿宋_GB2312" w:eastAsia="仿宋_GB2312" w:hAnsi="仿宋_GB2312"/>
          <w:sz w:val="32"/>
          <w:szCs w:val="32"/>
        </w:rPr>
        <w:t xml:space="preserve">广东深入实施“人工智能+”行动，华为以算力突破、场景落地和生态构建三维度发力，助力广东构建AI融合应用高地。</w:t>
      </w:r>
    </w:p>
    <w:p>
      <w:pPr>
        <w:spacing w:line="560" w:lineRule="exact"/>
        <w:ind w:firstLine="640"/>
        <w:jc w:val="both"/>
      </w:pPr>
      <w:r>
        <w:rPr>
          <w:rFonts w:ascii="仿宋_GB2312" w:cs="仿宋_GB2312" w:eastAsia="仿宋_GB2312" w:hAnsi="仿宋_GB2312"/>
          <w:sz w:val="32"/>
          <w:szCs w:val="32"/>
        </w:rPr>
        <w:t xml:space="preserve">一是突破算力底座核心技术。华为推出昇腾系列产品，通过自研达芬奇架构和灵衢互联技术实现算力组件高效直联，旗舰产品Atlas950最大支持8192张算力卡高速互联，大模型训练性能翻番，可稳定运行超30小时。今年5月，华为在国际电路与系统研讨会上提出以“时间缩微”替代“几何缩微”的韬（τ）定律，通过逻辑折叠等创新技术压缩信号传播时延，6年来已设计量产381款芯片，覆盖光通信、数据通信、无线通信、AI计算等多个领域。</w:t>
      </w:r>
    </w:p>
    <w:p>
      <w:pPr>
        <w:spacing w:line="560" w:lineRule="exact"/>
        <w:ind w:firstLine="640"/>
        <w:jc w:val="both"/>
      </w:pPr>
      <w:r>
        <w:rPr>
          <w:rFonts w:ascii="仿宋_GB2312" w:cs="仿宋_GB2312" w:eastAsia="仿宋_GB2312" w:hAnsi="仿宋_GB2312"/>
          <w:sz w:val="32"/>
          <w:szCs w:val="32"/>
        </w:rPr>
        <w:t xml:space="preserve">二是加速AI场景规模化落地。华为深度参与多地“AI+政务服务”样板点建设，推动政务服务从“网上办”向“智能办”升级，AI辅助材料预审助力审批前移，热线接通率达98%。在医疗领域，与南方医科大学南方医院联合发布医院通用人工智能平台HAIP，病理AI辅助诊断最快1秒完成切片初筛，患者获取病理报告周期缩短至1—2天。</w:t>
      </w:r>
    </w:p>
    <w:p>
      <w:pPr>
        <w:spacing w:line="560" w:lineRule="exact"/>
        <w:ind w:firstLine="640"/>
        <w:jc w:val="both"/>
      </w:pPr>
      <w:r>
        <w:rPr>
          <w:rFonts w:ascii="仿宋_GB2312" w:cs="仿宋_GB2312" w:eastAsia="仿宋_GB2312" w:hAnsi="仿宋_GB2312"/>
          <w:sz w:val="32"/>
          <w:szCs w:val="32"/>
        </w:rPr>
        <w:t xml:space="preserve">三是构建AI生态赋能制造业升级。华为与东莞市政府合作建设全国首个面向制造领域的城市级大模型中心，为企业提供普惠算力、开放模型和AI工程化能力服务。在广州花都搭建新型工业化数字服务平台，为中小企业提供规划咨询、数字化诊断、AI应用等全链条一站式服务。目前已有43个业界主流大模型基于昇腾预训练，200多个开源模型适配昇腾生态，推动6000多个解决方案落地应用。</w:t>
      </w:r>
    </w:p>
    <w:p>
      <w:pPr>
        <w:spacing w:line="560" w:lineRule="exact"/>
      </w:pPr>
      <w:r>
        <w:rPr>
          <w:rFonts w:ascii="仿宋_GB2312" w:cs="仿宋_GB2312" w:eastAsia="仿宋_GB2312" w:hAnsi="仿宋_GB2312"/>
          <w:sz w:val="32"/>
          <w:szCs w:val="32"/>
        </w:rPr>
        <w:t xml:space="preserve">（信息来源：南方日报 6月8日 </w:t>
      </w:r>
      <w:hyperlink w:history="1" r:id="rId1fcr3bfatnxllpyei1r-u">
        <w:r>
          <w:rPr>
            <w:rStyle w:val="Hyperlink"/>
            <w:rFonts w:ascii="仿宋_GB2312" w:cs="仿宋_GB2312" w:eastAsia="仿宋_GB2312" w:hAnsi="仿宋_GB2312"/>
            <w:sz w:val="32"/>
            <w:szCs w:val="32"/>
          </w:rPr>
          <w:t xml:space="preserve">https://epaper.nfnews.com/nfdaily/html/202606/08/content_10172502.html</w:t>
        </w:r>
      </w:hyperlink>
      <w:r>
        <w:rPr>
          <w:rFonts w:ascii="仿宋_GB2312" w:cs="仿宋_GB2312" w:eastAsia="仿宋_GB2312" w:hAnsi="仿宋_GB2312"/>
          <w:sz w:val="32"/>
          <w:szCs w:val="32"/>
        </w:rPr>
        <w:t xml:space="preserve">）</w:t>
      </w:r>
    </w:p>
    <w:p>
      <w:pPr>
        <w:spacing w:line="560" w:lineRule="exact"/>
      </w:pPr>
    </w:p>
    <w:p>
      <w:pPr>
        <w:spacing w:line="560" w:lineRule="exact"/>
      </w:pPr>
      <w:r>
        <w:rPr>
          <w:rFonts w:ascii="黑体" w:cs="黑体" w:eastAsia="黑体" w:hAnsi="黑体"/>
          <w:b/>
          <w:bCs/>
          <w:sz w:val="32"/>
          <w:szCs w:val="32"/>
        </w:rPr>
        <w:t xml:space="preserve">2、“链”动山海 产业共兴——佛黔携手深化鸭鹅产业协作新探索</w:t>
      </w:r>
    </w:p>
    <w:p>
      <w:pPr>
        <w:spacing w:line="560" w:lineRule="exact"/>
        <w:ind w:firstLine="640"/>
        <w:jc w:val="both"/>
      </w:pPr>
      <w:r>
        <w:rPr>
          <w:rFonts w:ascii="仿宋_GB2312" w:cs="仿宋_GB2312" w:eastAsia="仿宋_GB2312" w:hAnsi="仿宋_GB2312"/>
          <w:sz w:val="32"/>
          <w:szCs w:val="32"/>
        </w:rPr>
        <w:t xml:space="preserve">佛山与贵州黔东南携手深耕鸭鹅产业，打通养殖、加工、销售各环节，推动一二三产全链条融合，为产业振兴提供可复制的协作样本。</w:t>
      </w:r>
    </w:p>
    <w:p>
      <w:pPr>
        <w:spacing w:line="560" w:lineRule="exact"/>
        <w:ind w:firstLine="640"/>
        <w:jc w:val="both"/>
      </w:pPr>
      <w:r>
        <w:rPr>
          <w:rFonts w:ascii="仿宋_GB2312" w:cs="仿宋_GB2312" w:eastAsia="仿宋_GB2312" w:hAnsi="仿宋_GB2312"/>
          <w:sz w:val="32"/>
          <w:szCs w:val="32"/>
        </w:rPr>
        <w:t xml:space="preserve">一是因地制宜精准布局。黔东南州多山水系发达，家禽养殖历史悠久。锦屏县素有农户散养白鹅数百年传统，三穗鸭与北京鸭、绍兴鸭、高邮麻鸭并称中国“四大名鸭”。佛黔两地立足资源禀赋，将鸭鹅产业纳入黔东南州级主导产业统筹推进。锦屏县以羽毛球链主企业亚狮龙为牵引，构建“从鹅到羽、从羽到球、从球到装”的全产业链格局；三穗县走“市场驱动型”品牌跃升之路，推动三穗鸭从“特色农产品”向“品牌消费品”跨越。</w:t>
      </w:r>
    </w:p>
    <w:p>
      <w:pPr>
        <w:spacing w:line="560" w:lineRule="exact"/>
        <w:ind w:firstLine="640"/>
        <w:jc w:val="both"/>
      </w:pPr>
      <w:r>
        <w:rPr>
          <w:rFonts w:ascii="仿宋_GB2312" w:cs="仿宋_GB2312" w:eastAsia="仿宋_GB2312" w:hAnsi="仿宋_GB2312"/>
          <w:sz w:val="32"/>
          <w:szCs w:val="32"/>
        </w:rPr>
        <w:t xml:space="preserve">二是科技赋能全链贯通。佛山大学与黔东南建立科技帮扶协作机制，选育“穗鸭2号”“穗鸭3号”等新品种，锦屏县突破种鹅反季节产蛋技术平抑价格波动。两地依托国家农发行帮扶与东西部协作资源打造鹅产业一体化基地，创新推行“五统一”代养模式——由龙头企业统一供苗、饲料、防疫、技术、收购，农户零风险参与、轻资产运营。两地还将协作资金精准投向产业链最薄弱环节，确保每一分钱用在刀刃上。</w:t>
      </w:r>
    </w:p>
    <w:p>
      <w:pPr>
        <w:spacing w:line="560" w:lineRule="exact"/>
        <w:ind w:firstLine="640"/>
        <w:jc w:val="both"/>
      </w:pPr>
      <w:r>
        <w:rPr>
          <w:rFonts w:ascii="仿宋_GB2312" w:cs="仿宋_GB2312" w:eastAsia="仿宋_GB2312" w:hAnsi="仿宋_GB2312"/>
          <w:sz w:val="32"/>
          <w:szCs w:val="32"/>
        </w:rPr>
        <w:t xml:space="preserve">三是品牌延伸放大价值。锦屏县以“羽毛球+”赛事经济为抓手，启动贵州“村羽”全国挑战赛，推动“锦屏造”羽毛球品牌知名度持续提升。三穗县举办鸭美食文化旅游节，借助顺德“世界美食之都”品牌让三穗鸭产品“飞抵”大湾区餐桌。2025年黔东南鸭、鹅出栏量同比分别增长109%和31%，锦屏县羽毛球年产量突破700万打，鹅全产业链覆盖1.6万农户，产值超10亿元。</w:t>
      </w:r>
    </w:p>
    <w:p>
      <w:pPr>
        <w:spacing w:line="560" w:lineRule="exact"/>
      </w:pPr>
      <w:r>
        <w:rPr>
          <w:rFonts w:ascii="仿宋_GB2312" w:cs="仿宋_GB2312" w:eastAsia="仿宋_GB2312" w:hAnsi="仿宋_GB2312"/>
          <w:sz w:val="32"/>
          <w:szCs w:val="32"/>
        </w:rPr>
        <w:t xml:space="preserve">（信息来源：南方日报 6月8日 </w:t>
      </w:r>
      <w:hyperlink w:history="1" r:id="rIdudopx-vutg5boe0h4syun">
        <w:r>
          <w:rPr>
            <w:rStyle w:val="Hyperlink"/>
            <w:rFonts w:ascii="仿宋_GB2312" w:cs="仿宋_GB2312" w:eastAsia="仿宋_GB2312" w:hAnsi="仿宋_GB2312"/>
            <w:sz w:val="32"/>
            <w:szCs w:val="32"/>
          </w:rPr>
          <w:t xml:space="preserve">https://epaper.nfnews.com/nfdaily/html/202606/08/content_10172491.html</w:t>
        </w:r>
      </w:hyperlink>
      <w:r>
        <w:rPr>
          <w:rFonts w:ascii="仿宋_GB2312" w:cs="仿宋_GB2312" w:eastAsia="仿宋_GB2312" w:hAnsi="仿宋_GB2312"/>
          <w:sz w:val="32"/>
          <w:szCs w:val="32"/>
        </w:rPr>
        <w:t xml:space="preserve">）</w:t>
      </w:r>
    </w:p>
    <w:p>
      <w:pPr>
        <w:spacing w:line="560" w:lineRule="exact"/>
      </w:pPr>
    </w:p>
    <w:p>
      <w:pPr>
        <w:spacing w:line="560" w:lineRule="exact"/>
      </w:pPr>
      <w:r>
        <w:rPr>
          <w:rFonts w:ascii="黑体" w:cs="黑体" w:eastAsia="黑体" w:hAnsi="黑体"/>
          <w:b/>
          <w:bCs/>
          <w:sz w:val="32"/>
          <w:szCs w:val="32"/>
        </w:rPr>
        <w:t xml:space="preserve">3、近悦远来，“智造常州”破题开路</w:t>
      </w:r>
    </w:p>
    <w:p>
      <w:pPr>
        <w:spacing w:line="560" w:lineRule="exact"/>
        <w:ind w:firstLine="640"/>
        <w:jc w:val="both"/>
      </w:pPr>
      <w:r>
        <w:rPr>
          <w:rFonts w:ascii="仿宋_GB2312" w:cs="仿宋_GB2312" w:eastAsia="仿宋_GB2312" w:hAnsi="仿宋_GB2312"/>
          <w:sz w:val="32"/>
          <w:szCs w:val="32"/>
        </w:rPr>
        <w:t xml:space="preserve">常州锚定“国际化智造名城、长三角创新高地”城市定位，全力推进科技创新与产业创新深度融合，因地制宜发展新质生产力。</w:t>
      </w:r>
    </w:p>
    <w:p>
      <w:pPr>
        <w:spacing w:line="560" w:lineRule="exact"/>
        <w:ind w:firstLine="640"/>
        <w:jc w:val="both"/>
      </w:pPr>
      <w:r>
        <w:rPr>
          <w:rFonts w:ascii="仿宋_GB2312" w:cs="仿宋_GB2312" w:eastAsia="仿宋_GB2312" w:hAnsi="仿宋_GB2312"/>
          <w:sz w:val="32"/>
          <w:szCs w:val="32"/>
        </w:rPr>
        <w:t xml:space="preserve">一是实业固基构筑产业集群优势。2025年常州新能源产业规模突破万亿元，新能源整车产量超80万辆，动力电池产业链完整度97%居全国第一。常州正沿“发储送用网”全链条深度耕耘，前瞻布局固态变压器、新型储能等前沿赛道，主动拥抱“算电协同”新趋势。聚力打造以10大先进制造业集群、28条重点产业链为骨架的“1028”产业体系，前瞻布局人工智能、具身智能、新型储能、合成生物等“6+X”未来产业赛道，到2030年规模以上新能源产业产值目标超1.2万亿元。</w:t>
      </w:r>
    </w:p>
    <w:p>
      <w:pPr>
        <w:spacing w:line="560" w:lineRule="exact"/>
        <w:ind w:firstLine="640"/>
        <w:jc w:val="both"/>
      </w:pPr>
      <w:r>
        <w:rPr>
          <w:rFonts w:ascii="仿宋_GB2312" w:cs="仿宋_GB2312" w:eastAsia="仿宋_GB2312" w:hAnsi="仿宋_GB2312"/>
          <w:sz w:val="32"/>
          <w:szCs w:val="32"/>
        </w:rPr>
        <w:t xml:space="preserve">二是终端破局开辟新赛道。常州发布《人工智能终端产业三年行动方案（2026—2028年）》，在消费终端和行业应用终端“两端发力”，到2028年人工智能终端产业总体规模目标突破2800亿元，培育1家生态主导型领军企业、3家产值超百亿元龙头企业，打造1—2个国际影响力消费终端品牌。常州提出打造“AI制造首发中心”，让新技术在常州“首秀、首试、首产”。</w:t>
      </w:r>
    </w:p>
    <w:p>
      <w:pPr>
        <w:spacing w:line="560" w:lineRule="exact"/>
        <w:ind w:firstLine="640"/>
        <w:jc w:val="both"/>
      </w:pPr>
      <w:r>
        <w:rPr>
          <w:rFonts w:ascii="仿宋_GB2312" w:cs="仿宋_GB2312" w:eastAsia="仿宋_GB2312" w:hAnsi="仿宋_GB2312"/>
          <w:sz w:val="32"/>
          <w:szCs w:val="32"/>
        </w:rPr>
        <w:t xml:space="preserve">三是资源聚核提升创新能级。2025年4月起常州首创新质生产力“技术转移官”制度，选派46名优秀年轻干部驻点省内外32家高校院所，一年间开展对接拜访1000余场次，促成80多个项目签约、200余个项目达成合作意向。推动常州科教城、中以常州创新园一体化融合发展，构建科创型企业梯度培育体系，力争每年新招引科技型中小微企业达1500家。</w:t>
      </w:r>
    </w:p>
    <w:p>
      <w:pPr>
        <w:spacing w:line="560" w:lineRule="exact"/>
      </w:pPr>
      <w:r>
        <w:rPr>
          <w:rFonts w:ascii="仿宋_GB2312" w:cs="仿宋_GB2312" w:eastAsia="仿宋_GB2312" w:hAnsi="仿宋_GB2312"/>
          <w:sz w:val="32"/>
          <w:szCs w:val="32"/>
        </w:rPr>
        <w:t xml:space="preserve">（信息来源：新华日报 6月8日 </w:t>
      </w:r>
      <w:hyperlink w:history="1" r:id="rId7i_negbzjlutxxhz1w4z3">
        <w:r>
          <w:rPr>
            <w:rStyle w:val="Hyperlink"/>
            <w:rFonts w:ascii="仿宋_GB2312" w:cs="仿宋_GB2312" w:eastAsia="仿宋_GB2312" w:hAnsi="仿宋_GB2312"/>
            <w:sz w:val="32"/>
            <w:szCs w:val="32"/>
          </w:rPr>
          <w:t xml:space="preserve">https://xh.xhby.net/pc/con/202606/08/content_1561338.html</w:t>
        </w:r>
      </w:hyperlink>
      <w:r>
        <w:rPr>
          <w:rFonts w:ascii="仿宋_GB2312" w:cs="仿宋_GB2312" w:eastAsia="仿宋_GB2312" w:hAnsi="仿宋_GB2312"/>
          <w:sz w:val="32"/>
          <w:szCs w:val="32"/>
        </w:rPr>
        <w:t xml:space="preserve">）</w:t>
      </w:r>
    </w:p>
    <w:p>
      <w:pPr>
        <w:spacing w:line="560" w:lineRule="exact"/>
      </w:pPr>
    </w:p>
    <w:p>
      <w:pPr>
        <w:spacing w:line="560" w:lineRule="exact"/>
      </w:pPr>
      <w:r>
        <w:rPr>
          <w:rFonts w:ascii="黑体" w:cs="黑体" w:eastAsia="黑体" w:hAnsi="黑体"/>
          <w:b/>
          <w:bCs/>
          <w:sz w:val="32"/>
          <w:szCs w:val="32"/>
        </w:rPr>
        <w:t xml:space="preserve">4、江苏加快具身智能机器人数据集建设</w:t>
      </w:r>
    </w:p>
    <w:p>
      <w:pPr>
        <w:spacing w:line="560" w:lineRule="exact"/>
        <w:ind w:firstLine="640"/>
        <w:jc w:val="both"/>
      </w:pPr>
      <w:r>
        <w:rPr>
          <w:rFonts w:ascii="仿宋_GB2312" w:cs="仿宋_GB2312" w:eastAsia="仿宋_GB2312" w:hAnsi="仿宋_GB2312"/>
          <w:sz w:val="32"/>
          <w:szCs w:val="32"/>
        </w:rPr>
        <w:t xml:space="preserve">江苏省工信厅近日印发《加快具身智能机器人数据集建设工作方案》，抢抓人工智能终端发展战略机遇，从数据采集、创新支撑、标准规范和生态构建四个维度系统布局。</w:t>
      </w:r>
    </w:p>
    <w:p>
      <w:pPr>
        <w:spacing w:line="560" w:lineRule="exact"/>
        <w:ind w:firstLine="640"/>
        <w:jc w:val="both"/>
      </w:pPr>
      <w:r>
        <w:rPr>
          <w:rFonts w:ascii="仿宋_GB2312" w:cs="仿宋_GB2312" w:eastAsia="仿宋_GB2312" w:hAnsi="仿宋_GB2312"/>
          <w:sz w:val="32"/>
          <w:szCs w:val="32"/>
        </w:rPr>
        <w:t xml:space="preserve">一是拓宽采集场景夯实数据源头供给。方案引导开放真实应用场景，每年开放低敏感、高价值真实应用场景不低于100个。支持具身智能机器人整机企业与下游用户组建联合体，进入工业制造、民生服务、特种环境等领域真实场景开展数据采集，对符合条件的单个项目支持额度最高100万元。</w:t>
      </w:r>
    </w:p>
    <w:p>
      <w:pPr>
        <w:spacing w:line="560" w:lineRule="exact"/>
        <w:ind w:firstLine="640"/>
        <w:jc w:val="both"/>
      </w:pPr>
      <w:r>
        <w:rPr>
          <w:rFonts w:ascii="仿宋_GB2312" w:cs="仿宋_GB2312" w:eastAsia="仿宋_GB2312" w:hAnsi="仿宋_GB2312"/>
          <w:sz w:val="32"/>
          <w:szCs w:val="32"/>
        </w:rPr>
        <w:t xml:space="preserve">二是强化创新支撑提升数据赋能质效。方案提出加快具身智能机器人领域数据适配、算法迭代、整机实测、场景验证等一体化中试平台建设，鼓励龙头企业、高校院所联合开展“标准化数据集+轻量化行业模型+智能体”协同创新，构建从数据采集到模型训练的全链路支撑体系。</w:t>
      </w:r>
    </w:p>
    <w:p>
      <w:pPr>
        <w:spacing w:line="560" w:lineRule="exact"/>
        <w:ind w:firstLine="640"/>
        <w:jc w:val="both"/>
      </w:pPr>
      <w:r>
        <w:rPr>
          <w:rFonts w:ascii="仿宋_GB2312" w:cs="仿宋_GB2312" w:eastAsia="仿宋_GB2312" w:hAnsi="仿宋_GB2312"/>
          <w:sz w:val="32"/>
          <w:szCs w:val="32"/>
        </w:rPr>
        <w:t xml:space="preserve">三是健全标准体系规范数据流通交易。方案聚焦数据采集、预处理、标注、质量评价等重点环节，分类分层推进不少于30项相关标准制修订，支持省数交所探索规模化托管省内具身智能机器人数据资产，为数据要素市场化配置提供制度保障。方案还要求各部门按职责明确分工并设定工作要求与目标，形成“政产学研用”合力推动的协同格局。</w:t>
      </w:r>
    </w:p>
    <w:p>
      <w:pPr>
        <w:spacing w:line="560" w:lineRule="exact"/>
      </w:pPr>
      <w:r>
        <w:rPr>
          <w:rFonts w:ascii="仿宋_GB2312" w:cs="仿宋_GB2312" w:eastAsia="仿宋_GB2312" w:hAnsi="仿宋_GB2312"/>
          <w:sz w:val="32"/>
          <w:szCs w:val="32"/>
        </w:rPr>
        <w:t xml:space="preserve">（信息来源：央广网/新华日报 6月7日 </w:t>
      </w:r>
      <w:hyperlink w:history="1" r:id="rIdygnbhlcy_m0pswq8xxx4j">
        <w:r>
          <w:rPr>
            <w:rStyle w:val="Hyperlink"/>
            <w:rFonts w:ascii="仿宋_GB2312" w:cs="仿宋_GB2312" w:eastAsia="仿宋_GB2312" w:hAnsi="仿宋_GB2312"/>
            <w:sz w:val="32"/>
            <w:szCs w:val="32"/>
          </w:rPr>
          <w:t xml:space="preserve">https://js.cnr.cn/gstjjs/20260607/t20260607_527651401.shtml</w:t>
        </w:r>
      </w:hyperlink>
      <w:r>
        <w:rPr>
          <w:rFonts w:ascii="仿宋_GB2312" w:cs="仿宋_GB2312" w:eastAsia="仿宋_GB2312" w:hAnsi="仿宋_GB2312"/>
          <w:sz w:val="32"/>
          <w:szCs w:val="32"/>
        </w:rPr>
        <w:t xml:space="preserve">）</w:t>
      </w:r>
    </w:p>
    <w:p>
      <w:pPr>
        <w:spacing w:line="560" w:lineRule="exact"/>
      </w:pPr>
    </w:p>
    <w:p>
      <w:pPr>
        <w:spacing w:line="560" w:lineRule="exact"/>
      </w:pPr>
      <w:r>
        <w:rPr>
          <w:rFonts w:ascii="黑体" w:cs="黑体" w:eastAsia="黑体" w:hAnsi="黑体"/>
          <w:b/>
          <w:bCs/>
          <w:sz w:val="32"/>
          <w:szCs w:val="32"/>
        </w:rPr>
        <w:t xml:space="preserve">5、四川深入推动服务型制造创新发展</w:t>
      </w:r>
    </w:p>
    <w:p>
      <w:pPr>
        <w:spacing w:line="560" w:lineRule="exact"/>
        <w:ind w:firstLine="640"/>
        <w:jc w:val="both"/>
      </w:pPr>
      <w:r>
        <w:rPr>
          <w:rFonts w:ascii="仿宋_GB2312" w:cs="仿宋_GB2312" w:eastAsia="仿宋_GB2312" w:hAnsi="仿宋_GB2312"/>
          <w:sz w:val="32"/>
          <w:szCs w:val="32"/>
        </w:rPr>
        <w:t xml:space="preserve">四川省经济和信息化厅近日印发《四川省深入推动服务型制造创新发展行动方案》，推动制造业与服务业深度融合，到2028年基本建成西部地区服务型制造创新发展引领地。</w:t>
      </w:r>
    </w:p>
    <w:p>
      <w:pPr>
        <w:spacing w:line="560" w:lineRule="exact"/>
        <w:ind w:firstLine="640"/>
        <w:jc w:val="both"/>
      </w:pPr>
      <w:r>
        <w:rPr>
          <w:rFonts w:ascii="仿宋_GB2312" w:cs="仿宋_GB2312" w:eastAsia="仿宋_GB2312" w:hAnsi="仿宋_GB2312"/>
          <w:sz w:val="32"/>
          <w:szCs w:val="32"/>
        </w:rPr>
        <w:t xml:space="preserve">一是发展“制造+研发设计”模式。方案提出合理应用人工智能等新技术适应市场需求，发展用户反向定制、柔性生产、低代码开发等模式，提供个性化设计、定制化服务，打造一批“四川制造”“四川品牌”。</w:t>
      </w:r>
    </w:p>
    <w:p>
      <w:pPr>
        <w:spacing w:line="560" w:lineRule="exact"/>
        <w:ind w:firstLine="640"/>
        <w:jc w:val="both"/>
      </w:pPr>
      <w:r>
        <w:rPr>
          <w:rFonts w:ascii="仿宋_GB2312" w:cs="仿宋_GB2312" w:eastAsia="仿宋_GB2312" w:hAnsi="仿宋_GB2312"/>
          <w:sz w:val="32"/>
          <w:szCs w:val="32"/>
        </w:rPr>
        <w:t xml:space="preserve">二是发展“制造+供应链集成”模式。支持龙头企业围绕装备制造、智能制造、绿色能源制造等重点领域，围绕全省重大工程和重点项目开展全生命周期集成服务，构建“硬件+软件+平台+服务”集成系统，为客户提供规划设计、设备供应、安装调试、运营维护一体化服务整体解决方案，支持企业开拓“一带一路”沿线国家市场。</w:t>
      </w:r>
    </w:p>
    <w:p>
      <w:pPr>
        <w:spacing w:line="560" w:lineRule="exact"/>
        <w:ind w:firstLine="640"/>
        <w:jc w:val="both"/>
      </w:pPr>
      <w:r>
        <w:rPr>
          <w:rFonts w:ascii="仿宋_GB2312" w:cs="仿宋_GB2312" w:eastAsia="仿宋_GB2312" w:hAnsi="仿宋_GB2312"/>
          <w:sz w:val="32"/>
          <w:szCs w:val="32"/>
        </w:rPr>
        <w:t xml:space="preserve">三是发展“产品+全生命周期服务”模式。打造基于工业互联网的远程运维、故障诊断、状态预警、产品优化、系统集成等全栈能力，挖掘产品服务价值。方案同步提出配套政策，包括实施“十百千”工程培育标杆企业，鼓励制造业企业主辅分离提升服务化水平，建立统计监测体系完善相关指标制度。方案明确到2028年，引进培育1000家以上高品质首店，智能工厂达300个以上，相关专业从业人员达200万人以上。</w:t>
      </w:r>
    </w:p>
    <w:p>
      <w:pPr>
        <w:spacing w:line="560" w:lineRule="exact"/>
      </w:pPr>
      <w:r>
        <w:rPr>
          <w:rFonts w:ascii="仿宋_GB2312" w:cs="仿宋_GB2312" w:eastAsia="仿宋_GB2312" w:hAnsi="仿宋_GB2312"/>
          <w:sz w:val="32"/>
          <w:szCs w:val="32"/>
        </w:rPr>
        <w:t xml:space="preserve">（信息来源：四川日报/人民网 6月7日 </w:t>
      </w:r>
      <w:hyperlink w:history="1" r:id="rIdau0x1v6mvwptldixpjitc">
        <w:r>
          <w:rPr>
            <w:rStyle w:val="Hyperlink"/>
            <w:rFonts w:ascii="仿宋_GB2312" w:cs="仿宋_GB2312" w:eastAsia="仿宋_GB2312" w:hAnsi="仿宋_GB2312"/>
            <w:sz w:val="32"/>
            <w:szCs w:val="32"/>
          </w:rPr>
          <w:t xml:space="preserve">http://sc.people.com.cn/n2/2026/0607/c379470-41603334.html</w:t>
        </w:r>
      </w:hyperlink>
      <w:r>
        <w:rPr>
          <w:rFonts w:ascii="仿宋_GB2312" w:cs="仿宋_GB2312" w:eastAsia="仿宋_GB2312" w:hAnsi="仿宋_GB2312"/>
          <w:sz w:val="32"/>
          <w:szCs w:val="32"/>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fcr3bfatnxllpyei1r-u" Type="http://schemas.openxmlformats.org/officeDocument/2006/relationships/hyperlink" Target="https://epaper.nfnews.com/nfdaily/html/202606/08/content_10172502.html" TargetMode="External"/><Relationship Id="rIdudopx-vutg5boe0h4syun" Type="http://schemas.openxmlformats.org/officeDocument/2006/relationships/hyperlink" Target="https://epaper.nfnews.com/nfdaily/html/202606/08/content_10172491.html" TargetMode="External"/><Relationship Id="rId7i_negbzjlutxxhz1w4z3" Type="http://schemas.openxmlformats.org/officeDocument/2006/relationships/hyperlink" Target="https://xh.xhby.net/pc/con/202606/08/content_1561338.html" TargetMode="External"/><Relationship Id="rIdygnbhlcy_m0pswq8xxx4j" Type="http://schemas.openxmlformats.org/officeDocument/2006/relationships/hyperlink" Target="https://js.cnr.cn/gstjjs/20260607/t20260607_527651401.shtml" TargetMode="External"/><Relationship Id="rIdau0x1v6mvwptldixpjitc" Type="http://schemas.openxmlformats.org/officeDocument/2006/relationships/hyperlink" Target="http://sc.people.com.cn/n2/2026/0607/c379470-41603334.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2026-06-08T00:36:58.171Z</dcterms:created>
  <dcterms:modified xsi:type="dcterms:W3CDTF">2026-06-08T00:36:58.178Z</dcterms:modified>
</cp:coreProperties>
</file>

<file path=docProps/custom.xml><?xml version="1.0" encoding="utf-8"?>
<Properties xmlns="http://schemas.openxmlformats.org/officeDocument/2006/custom-properties" xmlns:vt="http://schemas.openxmlformats.org/officeDocument/2006/docPropsVTypes"/>
</file>