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/>
        <w:jc w:val="center"/>
      </w:pPr>
      <w:r>
        <w:rPr>
          <w:rFonts w:ascii="仿宋_GB2312" w:hAnsi="仿宋_GB2312" w:eastAsia="仿宋_GB2312"/>
          <w:b w:val="0"/>
          <w:sz w:val="32"/>
        </w:rPr>
        <w:t>（2026年9月10日 · 省级党报政策出台精选，福建省除外）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1、济南被赋予多重核心定位！山东印发新能源装备产业高质量发展三年实施方案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山东省工信厅等8部门联合印发《山东省新能源装备产业高质量发展实施方案（2026-2028年）》，为未来三年全省新能源装备产业高质量发展擘画蓝图。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一是明确总体目标与量化指标。方案提出到2028年全省新能源装备产业营收突破4700亿元，培育产值过百亿企业6家以上、专精特新“小巨人”企业100家以上、省级专精特新企业1000家以上。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优化产业空间布局。方案在风电、核电、光伏、氢燃料电池等领域差异化布局，以烟台、威海、青岛等为海上风电核心区，济南、潍坊、德州等为陆上风电及零部件核心区，打造5个左右百亿级风电装备产业园；重点培育烟台、威海、济南等核电装备特色产业集群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部署九条重点举措。围绕创新能力、壮大市场主体、拓展应用市场、强化精准服务四方面提出9条措施，攻关海上风电主轴承等“卡脖子”技术，依托国家绿色技术交易中心加速成果转化，力争培育推广省级首台（套）技术装备100项以上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强化要素保障。方案发挥标志性产业链“链长制”作用，由省工信厅牵头统筹；整合现有政策渠道支持新材料应用与技术攻关；加强运行监测、建立台账化解原材料价格波动等问题；深化金融赋能，单列信贷计划、制定综合融资方案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（信息来源：大众日报9月10日《济南被赋予多重核心定位！山东印发新能源装备产业高质量发展三年实施方案》  https://new.qq.com/rain/a/20260910A02TQX00）</w:t>
      </w:r>
    </w:p>
    <w:p>
      <w:pPr>
        <w:spacing w:lineRule="exact" w:line="560" w:before="160" w:after="40"/>
      </w:pPr>
      <w:r>
        <w:rPr>
          <w:rFonts w:ascii="黑体" w:hAnsi="黑体" w:eastAsia="黑体"/>
          <w:b/>
          <w:sz w:val="32"/>
        </w:rPr>
        <w:t>2、让政策红利加速落地 湖南再推消费品以旧换新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湖南省商务厅、省发改委、省财政厅联合印发《加快实施湖南省消费品以旧换新工作方案》，统筹国家补贴与市州、企业、金融机构三方资源，进一步放大政策效能，让消费者享受多重“打折”实惠。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延续并扩围补贴品类。家电按最终售价15%补贴、每件最高1500元，数码和智能产品同享15%、每件最高500元；6月起智能家居（含适老化）纳入新增品类，智能服务机器人、智能门锁等10类产品均可享15%补贴、每件最高1500元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叠加三方资源形成“折上折”。方案统筹政府补贴打底，市州结合“购在湖南”策划主题活动；鼓励企业自主出资打折、发消费券、给换新补贴；金融机构提供信贷优惠、支付立减、消费补贴，并运用个人消费贷款贴息工具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推进“五进”活动疏通堵点。针对县域乡村政策触达不均，方案部署以旧换新进社区、进农村、进机关、进企业、进商圈，宣传资源向县域乡村倾斜，线下摆展台、赶圩场、入村镇讲透补贴标准与申领流程，破除信息壁垒，让乡镇居民敢换新、愿换新、会换新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优化审核兑付流程。方案持续优化审核平台和兑付流程，压缩审核周期、减少等待时间，并常态化开展业务培训提升一线经办能力，做到补贴应兑尽兑；消费者实名认证后“随到随领、支付立减”，无需蹲点抢券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（信息来源：红网时刻新闻9月10日《让政策红利加速落地 湖南再推消费品"以旧换新"》  https://so.html5.qq.com/page/real/search_news?docid=70000021_4026aa1eb6d24652）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