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 w:after="240"/>
        <w:jc w:val="center"/>
      </w:pPr>
      <w:r>
        <w:rPr>
          <w:rFonts w:ascii="黑体" w:hAnsi="黑体" w:eastAsia="黑体"/>
          <w:b/>
          <w:sz w:val="32"/>
        </w:rPr>
        <w:t>媒体信息摘报</w:t>
      </w:r>
    </w:p>
    <w:p>
      <w:pPr>
        <w:spacing w:line="560" w:lineRule="exact" w:after="240"/>
        <w:jc w:val="center"/>
      </w:pPr>
      <w:r>
        <w:rPr>
          <w:rFonts w:ascii="黑体" w:hAnsi="黑体" w:eastAsia="黑体"/>
          <w:b/>
          <w:sz w:val="32"/>
        </w:rPr>
        <w:t>（2026年8月27日）</w:t>
      </w:r>
    </w:p>
    <w:p>
      <w:pPr>
        <w:spacing w:line="560" w:lineRule="exact" w:before="200" w:after="120"/>
      </w:pPr>
      <w:r>
        <w:rPr>
          <w:rFonts w:ascii="黑体" w:hAnsi="黑体" w:eastAsia="黑体"/>
          <w:b/>
          <w:sz w:val="32"/>
        </w:rPr>
        <w:t>一、宁波、滨江入选国家级示范区首批创建名单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一是宁波制定实施《宁波市国家服务贸易创新发展示范区创建工作方案》，推进8个方面30条重点任务，构建“3+5+X”服务贸易产业体系：做大做强大宗商品供应链服务、国际港航服务、高端制造服务三大优势领域，发展提升服务外包、旅行服务、对外文化贸易、人力资源服务、优质服务进口五大特色领域，前瞻布局人工智能、数据要素、绿色低碳、低空经济、脑机接口、智能健康等“X”个新兴服务领域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二是杭州滨江区制定实施《国家数字贸易示范区创建工作方案》，推进11个方面41条重点任务，深化数据要素市场化改革，做强数字技术服务出口，建强知识产权服务贸易港核心区，筑牢数字贸易核心支撑。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三是培育壮大数字贸易经营主体，发展具身智能产业，提能升级数字文化产业，加速发展生命健康服务，夯实数字贸易产业根基。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四是构建全链条出海服务体系，深化数字金融创新赋能，优化数字贸易发展营商环境，打造有利于经营主体成长的产业生态。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五是省商务厅加强对创建单位的政策支持和培育引导，营造有利于示范区建设的制度和政策环境，因地制宜发展服务贸易、数字贸易，争取创建周期内达到示范要求，引领全省服务贸易、数字贸易高质量发展。</w:t>
      </w:r>
    </w:p>
    <w:p>
      <w:pPr>
        <w:spacing w:line="560" w:lineRule="exact" w:before="80" w:after="200"/>
      </w:pPr>
      <w:r>
        <w:rPr>
          <w:rFonts w:ascii="仿宋_GB2312" w:hAnsi="仿宋_GB2312" w:eastAsia="仿宋_GB2312"/>
          <w:b w:val="0"/>
          <w:sz w:val="32"/>
        </w:rPr>
        <w:t>（信息来源：浙江日报8月27日《宁波、滨江入选国家级示范区首批创建名单》  https://zjnews.zjol.com.cn/zjnews/202608/t20260827_31872607.shtml）</w:t>
      </w:r>
    </w:p>
    <w:p>
      <w:pPr>
        <w:spacing w:line="560" w:lineRule="exact" w:before="200" w:after="120"/>
      </w:pPr>
      <w:r>
        <w:rPr>
          <w:rFonts w:ascii="黑体" w:hAnsi="黑体" w:eastAsia="黑体"/>
          <w:b/>
          <w:sz w:val="32"/>
        </w:rPr>
        <w:t>二、上海“十五五”战新规划出炉 壮大新兴支柱产业12个细分赛道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一是设定量级目标。到2030年战略性新兴产业增加值达2.1万亿元，工业战略性新兴产业总产值占规模以上工业总产值比重达50%以上，三大先导产业制造业年均增速达10%以上。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二是提升三大先导产业战略引领力。集成电路重点发展高端芯片和AI赋能设计、先进封装、新型器件和新架构芯片；生物医药重点发展高临床价值创新药、智能化高端医疗器械、高端医药研发和医疗服务；人工智能重点发展大模型和智能体、科学智能、具身智能、智算产业体系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三是壮大12个新兴支柱产业细分赛道，分别是新型智能终端、区块链、工业软件、智能网联新能源汽车、智能机器人、民用航空、商业航天和卫星互联网、低空经济、船舶海工、新型储能及能源装备、高端科学仪器、先进材料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四是前瞻布局10个前沿技术方向，包括量子科技、脑机接口、核聚变能、第六代移动通信、类脑智能、光计算、第四代半导体、生物制造、细胞与基因治疗、绿色燃料；培育8类服务新业态新模式，含科技研发、转化孵化、检验检测认证、知识产权、新型制造、科技金融、专业数据、数字创意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五是打造各具特色的战略性新兴产业集群，明确张江综合性国家科学中心、临港新片区、紫竹高新区—“大零号湾”、“一江一河”及环中环研发经济创新带、沿江临海及郊环先进制造承载地、长三角产业创新协同发展带的特色发展方向。</w:t>
      </w:r>
    </w:p>
    <w:p>
      <w:pPr>
        <w:spacing w:line="560" w:lineRule="exact" w:before="80" w:after="200"/>
      </w:pPr>
      <w:r>
        <w:rPr>
          <w:rFonts w:ascii="仿宋_GB2312" w:hAnsi="仿宋_GB2312" w:eastAsia="仿宋_GB2312"/>
          <w:b w:val="0"/>
          <w:sz w:val="32"/>
        </w:rPr>
        <w:t>（信息来源：解放日报8月27日《壮大新兴支柱产业12个细分赛道》  https://www.jfdaily.com/staticsg/res/html/journal/detail.html?date=2026-08-27&amp;id=530575&amp;page=02）</w:t>
      </w:r>
    </w:p>
    <w:p>
      <w:pPr>
        <w:spacing w:line="560" w:lineRule="exact" w:before="200" w:after="120"/>
      </w:pPr>
      <w:r>
        <w:rPr>
          <w:rFonts w:ascii="黑体" w:hAnsi="黑体" w:eastAsia="黑体"/>
          <w:b/>
          <w:sz w:val="32"/>
        </w:rPr>
        <w:t>三、百年水泥厂重燃“新火焰” 启新1889工业遗存文创活化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一是坚持“保护优先、合理利用”，实施“修旧如旧”。唐山对启新水泥厂1889年至2008年的2000余卷档案、水泥窑系统等核心工业文物进行整理与抢救性修复，完整保留1906年至1994年建设的24座建（构）筑物，保留原料磨、水泥旋窑等全套近代水泥工业遗存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二是改造老旧厂房为博物馆展陈中心。依托4至7号窑窑头区域改造为启新水泥工业博物馆，将早期发电机组改造成互动展区，游客可亲手操作老式开关感受电流震动；CAVE影院以裸眼3D影像重现百年水泥生产场景。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三是创新“工业遗存+潮流音乐”融合模式，举办“工业摇篮 唱响唐山”大型摇滚音乐节，邀请京津冀原创乐队登台，粗粝厂房肌理与现代灯光、潮流旋律碰撞，同步线上直播，形成“线上引流、线下体验、产品变现”闭环。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四是引入现代消费业态。园区集聚120多家文化创意类企业，涵盖艺术展览、特色餐饮、影视拍摄等；“鲨鱼咖啡”推出“水泥”冰激凌、工业风杯套，“璃火·玻璃艺术空间”供游客制作玻璃摆件，拉动周边餐饮、住宿消费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五是规划研学线路与智慧升级。依托水泥工业博物馆、百年水泥旋窑、电力科技馆等点位，设计工业溯源、红色思政、科普实践三条标准化研学线路；与中小学、高校建立长期研学合作，重点扶持工业设计产业，吸引高端设计企业入驻。</w:t>
      </w:r>
    </w:p>
    <w:p>
      <w:pPr>
        <w:spacing w:line="560" w:lineRule="exact" w:before="80" w:after="200"/>
      </w:pPr>
      <w:r>
        <w:rPr>
          <w:rFonts w:ascii="仿宋_GB2312" w:hAnsi="仿宋_GB2312" w:eastAsia="仿宋_GB2312"/>
          <w:b w:val="0"/>
          <w:sz w:val="32"/>
        </w:rPr>
        <w:t>（信息来源：河北日报8月27日《百年水泥厂的“新火焰”》  https://hbrb.hebnews.cn/pad/paper/c/202608/27/content_306435.html）</w:t>
      </w:r>
    </w:p>
    <w:p>
      <w:pPr>
        <w:spacing w:line="560" w:lineRule="exact" w:before="200" w:after="120"/>
      </w:pPr>
      <w:r>
        <w:rPr>
          <w:rFonts w:ascii="黑体" w:hAnsi="黑体" w:eastAsia="黑体"/>
          <w:b/>
          <w:sz w:val="32"/>
        </w:rPr>
        <w:t>四、郑州片区入选国家数字贸易示范区首批创建试点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一是以制度创新为核心构筑数字贸易底座。河南自贸试验区郑州片区累计形成426项制度创新成果，其中60项为全国首创、125项为全省首创，13项数字贸易领域创新案例在全国复制推广。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二是首创“1210”保税备货模式，被世界海关组织（WCO）收录为全球跨境电商参考监管范式；打造全国首个农业数字流通跨境消费服务平台“郑数登”，以可信数字凭证实现信息流、商流、物流、资金流“四流合一”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三是完善数字贸易产业生态。亚马逊全球开店华中首个办公室、1688选品中心等头部平台相继落户，华为安驰智行、数字马力、天桥短剧等一批全国性数字贸易骨干企业加速集聚，“竖屏郑州”成为中部数字文化贸易特色名片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四是夯实数字底座。郑州加速建设“数仓、数纽、数港”，国家超算互联网核心节点正式上线运行，获批国家首批数据流通利用基础设施建设试点、城市可信数据空间创新发展试点。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五是深化制度创新，持续打造全国数字贸易创新策源地和算力服务高地，吸引更多头部企业、跨国公司集聚郑州，推动数字贸易产业集群加速形成，提升城市开放能级。</w:t>
      </w:r>
    </w:p>
    <w:p>
      <w:pPr>
        <w:spacing w:line="560" w:lineRule="exact" w:before="80" w:after="200"/>
      </w:pPr>
      <w:r>
        <w:rPr>
          <w:rFonts w:ascii="仿宋_GB2312" w:hAnsi="仿宋_GB2312" w:eastAsia="仿宋_GB2312"/>
          <w:b w:val="0"/>
          <w:sz w:val="32"/>
        </w:rPr>
        <w:t>（信息来源：河南日报8月27日《我省拿下数字贸易国家级项目》  https://dzb.henandaily.cn/html5/2026-08/27/content_10_1808547.htm）</w:t>
      </w:r>
    </w:p>
    <w:p>
      <w:pPr>
        <w:spacing w:line="560" w:lineRule="exact" w:before="200" w:after="120"/>
      </w:pPr>
      <w:r>
        <w:rPr>
          <w:rFonts w:ascii="黑体" w:hAnsi="黑体" w:eastAsia="黑体"/>
          <w:b/>
          <w:sz w:val="32"/>
        </w:rPr>
        <w:t>五、许昌市场采购贸易方式出口大增 新业态激发外贸新活力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一是落地国家级市场采购贸易方式试点。中国（许昌）国际发制品交易市场作为全国第五批、河南省唯一的国家级市场采购贸易方式试点，为“多品种、多批次、小批量”商品出口量身打造新型贸易方式。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二是实施便利化监管措施。单笔商品货值在15万美元以下，即可通过市场采购贸易方式申报出口，享受增值税免征不退、简化申报、灵活结汇等便利化措施，破解中小微企业订单零散、出口手续繁杂、收汇不畅等瓶颈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三是持续丰富出口品类与拓展市场。试点累计备案商品达1200余种、2.8万项，出口商品由发制品向汽车零配件、灯具、玩具、纺织服装等多元品类拓展，出口目的地覆盖170多个国家和地区，累计备案企业突破2100家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四是多部门协作优化营商环境。当地通过惠企政策宣讲、设立服务专窗等，提供政策解读、咨询答疑、业务指导等“一站式”便捷服务，引导中小微企业借力新业态拓展出口贸易。</w:t>
      </w:r>
    </w:p>
    <w:p>
      <w:pPr>
        <w:spacing w:line="560" w:lineRule="exact" w:after="80"/>
        <w:ind w:firstLine="640"/>
      </w:pPr>
      <w:r>
        <w:rPr>
          <w:rFonts w:ascii="仿宋_GB2312" w:hAnsi="仿宋_GB2312" w:eastAsia="仿宋_GB2312"/>
          <w:b w:val="0"/>
          <w:sz w:val="32"/>
        </w:rPr>
        <w:t>五是引导特色产品扩大出口。下一步将持续优化监管服务、降低企业制度性成本，引导木制品、蜂产品、预包装食品等特色产品通过市场采购贸易扩大出口，充分用好新业态、新模式激发外贸新潜力。</w:t>
      </w:r>
    </w:p>
    <w:p>
      <w:pPr>
        <w:spacing w:line="560" w:lineRule="exact" w:before="80" w:after="200"/>
      </w:pPr>
      <w:r>
        <w:rPr>
          <w:rFonts w:ascii="仿宋_GB2312" w:hAnsi="仿宋_GB2312" w:eastAsia="仿宋_GB2312"/>
          <w:b w:val="0"/>
          <w:sz w:val="32"/>
        </w:rPr>
        <w:t>（信息来源：河南日报8月27日《新业态激发外贸新活力》  https://dzb.henandaily.cn/html5/2026-08/27/content_11_1808553.htm）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