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 w:line="560" w:lineRule="exact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媒体信息摘报</w:t>
      </w:r>
    </w:p>
    <w:p>
      <w:pPr>
        <w:spacing w:after="400" w:before="0" w:line="560" w:lineRule="exact"/>
        <w:jc w:val="center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2026年6月26日  省级党报经济·科技·消费创新举措精选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"悟空智算"引来创业"取经人"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连云港市海州区以"悟空智算"人工智能算力集群为硬核支撑，以OPC社区为创业载体，以数实融合为发展路径，走出一条县域数字经济高质量发展新路。"悟空智算"是江苏单体规模最大、性能最优的人工智能算力集群，总算力规模达10607P，获国内首个国家工业智算节点认证、工信部算力强基揭榜行动认定等国家级资质。一是推出"算力券"政策，企业免申即享，符合条件即可直接享受算力成本减免，无需申报、无需跑腿，政府主动将算力红利送到经营主体手中。二是搭建"花果山下"系列OPC社区创业平台，覆盖人工智能、数智电商、智慧安防等七大领域，采取"空间+服务+生态"三位一体模式，提供免费工位、水电网络、创业导师，叠加10亿Tokens主流大模型算力加持，实现"拎包入驻"创业体验。三是印发《2026年度"人工智能+"实施方案》，构建"3+N"产业工作体系，明确持续扩容算力规模、精进核心技术、提升服务效能，完善OPC社区生态培育壮大数字经济中小微主体，深化数字技术与医药、安防、高端制造等优势产业融合，同步强化数字人才引育。四是南京、无锡、哈尔滨科创飞地OPC社区相继挂牌，飞地注册企业达15家，构建跨区域创新协同网络。截至目前，已有38家生态企业落户（含4家上市公司子公司），126名创业者签约入驻。2026年一季度"悟空智算"业务收入突破12亿元，全年预计超30亿元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（信息来源：新华日报6月26日《"悟空智算"引来创业"取经人"》  https://xh.xhby.net/pc/con/202606/26/content_1566567.html）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"四个一"靶向施策，稳楼市暖民心"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江苏省提出"一区域一策、一类群体一策、一地块一策、一楼盘一策"精细化调控框架，推动房地产市场品质跃升。1—5月江苏新建商品住宅和二手住宅成交总面积保持全国第一。一区域一策方面，一是南京石榴新村D级危房改造以"三方共担"模式推进，市、区政府各出资30%、居民承担40%，获建行8亿元"危改贷"支持，召开69场居民议事会，签约率达97%，288户6栋居民已原地回迁新家。二是苏州十全街"共生式"更新路径，设立"五共机制"引导商户参与设计，政府投入五六千万元完善基础设施，撬动约1000万元商户自发资金，改造后日均客流翻倍至2万人次，新增注册商户超120家，商铺租金普遍上涨50%以上。一类群体一策方面，一是无锡人才购房补贴：大专8万元、本科12万元、硕士25万元、博士40万元，可直接冲抵首付，手机操作、5天完成审核，5月市区一手房网签环比增长152.6%，55.3%为人才购房。二是泰州"投亲养老"购房补贴，总房款3%、最高10万元，已累计发放补贴3048万元，促成381户就近养老。三是淮安多孩家庭购房补贴达6%、公积金贷款额度上浮50%。一地块一策方面，一是南京建立"地之云"信息系统，将全市划分为165个板块，精准落图监测去化周期。二是苏州工业园区"一地一策"机制，多部门联合会商形成闭环管理体系。三是泰州姜堰区以土地使用权作价入股与浙江民企合资开发，本地企业持股28%获长期稳定分红。一楼盘一策方面，盐城出台《存量商品房准改善型改造提升实施方案》，首批14个试点项目落地，围绕空间布局、住宅功能、公共配套、物业服务四方面量身定制改造路径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（信息来源：新华日报6月26日《"四个一"靶向施策，稳楼市暖民心》  https://xh.xhby.net/pc/con/202606/26/content_1566627.html）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四川出台14条措施支持绿色低碳发展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四川省印发《四川省支持绿色低碳发展若干政策措施》，从资金补助、金融赋能、要素保障三大维度提出14条激励举措，促进经济社会发展全面绿色转型。一是资金补助方面，整合省级预算内基本建设投资、城乡建设专项资金等多类财政资金，针对不同类型绿色低碳项目设置差异化补助比例与封顶额度。工业及能源领域节能降碳改造最高补助可达2000万元，涵盖节能降碳增效改造、煤炭清洁化利用、煤电机组节能提效升级和清洁化利用、新型储能和能源领域氢能项目等，补贴范围广、支持力度大。二是金融赋能方面，构建贴息、奖补、转型金融三位一体的绿色金融支持体系，覆盖环保项目、设备更新、绿色债券、高耗能行业转型等场景，全方位减轻企业资金压力。对符合条件的"技改贷""设备更新贷"贷款，按年利率1.5%给予不超过1年的省级财政贴息，单个企业每年获得省级财政贴息额度最高不超过500万元。三是要素保障方面，从科技、用地、用能三大核心要素入手，对绿色低碳项目简化审批、优先保障作出部署，为项目落地运营扫清障碍，打造最优发展环境。省发展改革委将会同相关部门持续完善配套细则、畅通申报渠道，确保各项惠企利民政策直达经营主体。政策措施全面覆盖工业、能源、建筑、交通、环保、科技等多个重点领域，一方面重点支持工业节能改造、清洁能源开发、新型储能、环保治理等核心产业，引导传统高耗能行业转型升级；另一方面兼顾民生领域绿色升级、再生资源利用、建筑节能改造等民生项目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（信息来源：四川日报6月26日《四川出台14条措施支持绿色低碳发展》  https://epaper.scdaily.cn/shtml/scrb/20260626/1082717.html）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乘热而上，让一时热变成一直热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6月25日，"缤纷夏日 嗨游浙江"2026暑期文旅消费季在苍南启动，全省推出超590项惠民举措、1100余场主题活动，发放2600余万元消费券，300余家景区送上专属特惠。一是精准对接多元需求，发布暑期旅游十大主题活动、学生专享政策、森林康养与避暑指南、疗休养精品线路等，磨细政策颗粒度覆盖全年龄段群体：针对老年群体推出"银发避暑游"与社区养老服务补贴；针对家庭亲子客群丰富研学游、科普游等教育类消费供给；针对大众住餐需求通过发放消费券、延长夜间营业时间等方式点燃城市"烟火气"。二是推动业态深度融合，打造差异化消费新场景。温州、台州六家景区联合推出"雁楠飞仙海天游"廊道，凭任一景区门票即可在180天内享受廊道内其他参与景区6折优惠，以门票互惠串联"山、水、海、岛"全要素，打造跨区域"串门游"新模式，从"同质化竞争"迈向"共赢式发展"。三是跳出短期促销思维，让"一时热"变成"一直热"。省委副书记、省长刘捷部署加快推出暑期促消费政策，出台针对养老、健康、教育、住餐等领域消费支持政策，释放各类群体消费潜能。浙江南浔、富阳通过举办国际水上赛事带动水上装备加速出海，推动"玩水经济"转变成可持续发展的重要产业，围绕消费链延伸产业链，把清凉元素转化为城市消费名片，让一季火热点燃四季繁荣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（信息来源：浙江日报6月26日《乘热而上，让一时热变成一直热》  https://zjrb.zjol.com.cn/html/2026-06/26/content_3913452.htm）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"全世界都告诉我，做潮玩要找东莞"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东莞作为中国潮玩之都，携十余家潮玩企业、百余款原创产品亮相第50届法国昂西国际动画电影节，从"世界工厂"向"世界潮玩大脑"加速进化。一是集聚产业生态，东莞聚集超8000家玩具生产企业和近1500家配套企业，承载中国近85%的潮玩生产份额，全球每4件动漫衍生品中就有1件产自东莞。2025年涉及潮玩行业规上企业259家，营收282.82亿元。二是构建极速供应链，在产业最为集中的石排镇，方圆5公里、15分钟车程内即可实现"设计—打样—生产—销售"全产业链协同，从设计到量产交付最快仅10天。从北京冬奥会"冰墩墩"的连夜保供到《哪吒》衍生品订单的极限交付，东莞一次次用"按小时计算"的效率验证着从"世界工厂"到"世界潮玩大脑"的产业进化逻辑。三是实施"制造美学·潮玩出海"系列行动，先后走进美国、巴西、日本、法国等国家，从产品输出到文化触达，为"广货行天下"写下新注脚。法国潮玩公司负责人感叹"全世界都告诉我，做潮玩要找东莞"，瑞士制片人携原创IP设计稿前来寻求实体转化合作。四是今年8月将举办第16届中国国际影视动漫版权保护和贸易博览会，持续搭建国际化展示交易平台，更多国际企业与爱好者将共赴中国潮玩盛会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（信息来源：南方日报6月26日《"全世界都告诉我，做潮玩要找东莞"》  https://epaper.nfnews.com/nfdaily/html/202606/26/content_10174122.html）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2026-06-26T00:08:53.919Z</dcterms:created>
  <dcterms:modified xsi:type="dcterms:W3CDTF">2026-06-26T00:08:53.920Z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