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after="240"/>
        <w:jc w:val="center"/>
      </w:pPr>
      <w:r>
        <w:rPr>
          <w:rFonts w:ascii="黑体" w:hAnsi="黑体" w:eastAsia="黑体"/>
          <w:b/>
          <w:sz w:val="44"/>
        </w:rPr>
        <w:t>8月11日 媒体信息摘报</w:t>
      </w:r>
    </w:p>
    <w:p>
      <w:pPr>
        <w:spacing w:lineRule="exact" w:line="560" w:before="160" w:after="80"/>
        <w:ind w:firstLine="640"/>
      </w:pPr>
      <w:r>
        <w:rPr>
          <w:rFonts w:ascii="黑体" w:hAnsi="黑体" w:eastAsia="黑体"/>
          <w:b/>
          <w:sz w:val="32"/>
        </w:rPr>
        <w:t>天津出台智能机器人产业创新发展行动方案 2028年核心产值突破200亿元</w:t>
      </w:r>
    </w:p>
    <w:p>
      <w:pPr>
        <w:spacing w:lineRule="exact" w:line="560" w:after="40"/>
        <w:ind w:firstLine="640"/>
      </w:pPr>
      <w:r>
        <w:rPr>
          <w:rFonts w:ascii="仿宋_GB2312" w:hAnsi="仿宋_GB2312" w:eastAsia="仿宋_GB2312"/>
          <w:b w:val="0"/>
          <w:sz w:val="32"/>
        </w:rPr>
        <w:t>天津市工业和信息化局、市发展改革委、市科技局联合印发《天津市智能机器人产业创新发展行动方案（2026—2028年）》，提出到2028年底全市智能机器人产业核心产值突破200亿元，产值年均增速超过15%，京津冀区域配套率提升至60%以上，形成“研发—制造—应用—服务”全环节、“决策及控制—本体—核心零部件—集成服务”全链条产业生态。一是实施核心技术攻关行动。攻关端云协同的芯片与操作系统，提升驱控一体控制器、轻量化高负重比仿生本体结构、高集成度关节等关键零部件性能，加强高质量数据集供给，研发工业类专用模型不少于200个，形成高质量数据集不少于100个。二是实施产品谱系培优行动。做强工业机器人，做优特种机器人，做精服务机器人，差异化布局人形及仿生机器人，其中特种机器人重点发展深海探测、水下作业、港口智能装卸、电力巡检、消防救援等场景。三是实施京津冀协同提速行动。主动对接北京优质资源，融入北京（京津冀）国际科技创新中心，推进京津冀人形机器人产业链协进工程，深化与国家地方共建具身智能机器人创新中心、中关村机器人产业创新中心等平台合作。四是强化要素保障。研究设立市级机器人产业专项基金，探索以租代售、委托租赁、杠杆租赁等科技租赁服务，鼓励“机器人6S店”新型商业体建设，支持跨境电商营销中心建设，打造智能机器人出海总部基地。</w:t>
      </w:r>
    </w:p>
    <w:p>
      <w:pPr>
        <w:spacing w:lineRule="exact" w:line="560" w:after="200"/>
        <w:ind w:firstLine="640"/>
      </w:pPr>
      <w:r>
        <w:rPr>
          <w:rFonts w:ascii="仿宋_GB2312" w:hAnsi="仿宋_GB2312" w:eastAsia="仿宋_GB2312"/>
          <w:b w:val="0"/>
          <w:sz w:val="32"/>
        </w:rPr>
        <w:t>（信息来源：天津日报8月11日《2028年全市智能机器人产业核心产值突破200亿元》  https://k.sina.com.cn/article_5953189932_162d6782c06704uw46.html）</w:t>
      </w:r>
    </w:p>
    <w:p>
      <w:pPr>
        <w:spacing w:lineRule="exact" w:line="560" w:before="160" w:after="80"/>
        <w:ind w:firstLine="640"/>
      </w:pPr>
      <w:r>
        <w:rPr>
          <w:rFonts w:ascii="黑体" w:hAnsi="黑体" w:eastAsia="黑体"/>
          <w:b/>
          <w:sz w:val="32"/>
        </w:rPr>
        <w:t>江苏十部门出台16条措施支持非遗小微企业文创发展</w:t>
      </w:r>
    </w:p>
    <w:p>
      <w:pPr>
        <w:spacing w:lineRule="exact" w:line="560" w:after="40"/>
        <w:ind w:firstLine="640"/>
      </w:pPr>
      <w:r>
        <w:rPr>
          <w:rFonts w:ascii="仿宋_GB2312" w:hAnsi="仿宋_GB2312" w:eastAsia="仿宋_GB2312"/>
          <w:b w:val="0"/>
          <w:sz w:val="32"/>
        </w:rPr>
        <w:t>江苏省文旅厅会同省教育厅、省工信厅、省财政厅等十部门联合印发《关于支持江苏省非物质文化遗产小微企业文创发展的若干措施（试行）》，围绕夯实发展基础、拓展市场空间、强化要素保障3个方向提出16条措施，进一步激发非遗小微企业创新创造活力，加快带动消费升级。目前全省备案非遗小微企业（含个体工商户）已超11万家，近八成涉及文创经营。一是明确扶持对象与奖补机制。扶持对象为符合工信部小型或微型企业标准的非遗小微企业，根据企业年度非遗文创产品研发并投产数量给予奖补，择优遴选不少于300家新锐企业纳入重点目录。二是拓展市场空间。以大运河文化旅游博览会、长江文化节等品牌活动为牵引，全年组织参展促销活动不少于300场，为参展企业提供食宿便利；组织企业进景区、社区、乡村、商圈、历史文化街区、新型文化空间，全年开展非遗体验销售活动不少于1000场。三是强化人才与品牌支撑。每年举办不少于100场设计沙龙、专题讲座，举办乡土人才高级研修、非遗传承人研修培训、青年非遗人才特训等班次，每年开展线上线下培训不少于500人次；指导推动省非遗保护协会成立非遗文创专业委员会，每年为不少于200家企业提供品牌诊断与定位指导。</w:t>
      </w:r>
    </w:p>
    <w:p>
      <w:pPr>
        <w:spacing w:lineRule="exact" w:line="560" w:after="200"/>
        <w:ind w:firstLine="640"/>
      </w:pPr>
      <w:r>
        <w:rPr>
          <w:rFonts w:ascii="仿宋_GB2312" w:hAnsi="仿宋_GB2312" w:eastAsia="仿宋_GB2312"/>
          <w:b w:val="0"/>
          <w:sz w:val="32"/>
        </w:rPr>
        <w:t>（信息来源：新华日报8月11日《江苏十部门联合出台相关举措支持非遗小微企业文创发展》  https://so.html5.qq.com/page/real/search_news?docid=70000021_7596a7a5e8d67052）</w:t>
      </w:r>
    </w:p>
    <w:p>
      <w:pPr>
        <w:spacing w:lineRule="exact" w:line="560" w:before="160" w:after="80"/>
        <w:ind w:firstLine="640"/>
      </w:pPr>
      <w:r>
        <w:rPr>
          <w:rFonts w:ascii="黑体" w:hAnsi="黑体" w:eastAsia="黑体"/>
          <w:b/>
          <w:sz w:val="32"/>
        </w:rPr>
        <w:t>浙江发布高教服务产业体系行动方案 七项计划破解产学研用“最后一公里”</w:t>
      </w:r>
    </w:p>
    <w:p>
      <w:pPr>
        <w:spacing w:lineRule="exact" w:line="560" w:after="40"/>
        <w:ind w:firstLine="640"/>
      </w:pPr>
      <w:r>
        <w:rPr>
          <w:rFonts w:ascii="仿宋_GB2312" w:hAnsi="仿宋_GB2312" w:eastAsia="仿宋_GB2312"/>
          <w:b w:val="0"/>
          <w:sz w:val="32"/>
        </w:rPr>
        <w:t>浙江省发布《高等教育服务加快构建浙江特色现代化产业体系行动方案（2026—2028年）》，提出到2028年全省围绕特色现代化产业体系新增或升级500个以上学科专业，培养输送重点产业急需人才30万名以上，科技成果转化总金额超200亿元，服务企业10万家次以上。一是构建结对合作机制。以“高校+平台+企业+产业链”为核心抓手，对全省高校逐一明确重点合作平台、重点服务企业、重点对接支撑产业集群及三年主攻方向，形成500多项重点任务清单。二是统筹推进五大领域。传统产业聚焦纺织、石化、家电等建设200项以上技术攻关项目；新兴产业对接人工智能、集成电路、生物医药等赛道，建设100个省级重点支持现代产业学院；未来产业瞄准具身智能、脑机接口、量子技术，建设5个交叉学科中心，突破50项以上前沿交叉技术。三是创新协同攻关与人才机制。建立“四题一评”协同攻关机制，高校横向经费累计到账300万元以上且形成重大成果的产学研合作项目可上升为省重大科技计划项目；推广“产业教授”“科技副总”制度，完善“编制在高校、工作在平台、服务在企业”共享模式；探索“先用后转”险破解中小微企业转化难题；新申报理工农医类学位点、专业占比分别不低于65%和70%。</w:t>
      </w:r>
    </w:p>
    <w:p>
      <w:pPr>
        <w:spacing w:lineRule="exact" w:line="560" w:after="200"/>
        <w:ind w:firstLine="640"/>
      </w:pPr>
      <w:r>
        <w:rPr>
          <w:rFonts w:ascii="仿宋_GB2312" w:hAnsi="仿宋_GB2312" w:eastAsia="仿宋_GB2312"/>
          <w:b w:val="0"/>
          <w:sz w:val="32"/>
        </w:rPr>
        <w:t>（信息来源：浙江日报8月11日《七项计划力解产学研用“最后一公里”难题》  https://so.html5.qq.com/page/real/search_news?docid=70000021_5916a7a15a543652）</w:t>
      </w:r>
    </w:p>
    <w:p>
      <w:pPr>
        <w:spacing w:lineRule="exact" w:line="560" w:before="160" w:after="80"/>
        <w:ind w:firstLine="640"/>
      </w:pPr>
      <w:r>
        <w:rPr>
          <w:rFonts w:ascii="黑体" w:hAnsi="黑体" w:eastAsia="黑体"/>
          <w:b/>
          <w:sz w:val="32"/>
        </w:rPr>
        <w:t>上海发布新城高质量发展行动方案 以“强功能”为主线推进26项重点项目</w:t>
      </w:r>
    </w:p>
    <w:p>
      <w:pPr>
        <w:spacing w:lineRule="exact" w:line="560" w:after="40"/>
        <w:ind w:firstLine="640"/>
      </w:pPr>
      <w:r>
        <w:rPr>
          <w:rFonts w:ascii="仿宋_GB2312" w:hAnsi="仿宋_GB2312" w:eastAsia="仿宋_GB2312"/>
          <w:b w:val="0"/>
          <w:sz w:val="32"/>
        </w:rPr>
        <w:t>上海市政府新闻办发布2026年上海市新城高质量发展行动方案，今年五个新城发展工作以“强功能”为主线，重点围绕主导特色产业、创新创业环境、公共服务体系、城市设施环境、重点区域发展、协同工作机制等领域推进26项重点项目，锚定打造综合性节点城市目标，推动新城功能全面提升，加速产城融合和职住平衡。一是深化先进制造业主力军作用。聚焦汽车“新四化”、新一代信息技术、高端装备、集成电路等领域推进产业链招商，推动五个新城培育细分赛道规模化发展；鼓励各新城围绕主导产业大力发展生产性服务业，如嘉定发展汽车设计、自动驾驶解决方案，青浦发展工业物流、软件信息，松江发展智算服务，奉贤发展化妆品研发、检验检测，南汇发展大飞机总装集成，深化重点领域“两业融合”。二是培育创新创业土壤。重点推动松江、奉贤、临港等大学集聚区能级提升，保障临港实验室、中国科学院有机所正式投用；支持五个新城依托高校、产业园区联动打造众创空间，优化青年驿站、人才公寓等配套服务。三是提质公共服务与城市能级。五个新城范围内计划新开办9所中小学和幼儿园，推进中山医院国家医学中心（青浦新城院区）、市一松江院区（二期）、市六临港院区（二期）等竣工投用；2026年内全市新城绿环贯通段基本实现贯通。四是突出青年友好导向。完善“15分钟社区生活圈”，探索在条件具备的新城开展小月龄托育服务试点，丰富市民夜校等多样化服务。</w:t>
      </w:r>
    </w:p>
    <w:p>
      <w:pPr>
        <w:spacing w:lineRule="exact" w:line="560" w:after="200"/>
        <w:ind w:firstLine="640"/>
      </w:pPr>
      <w:r>
        <w:rPr>
          <w:rFonts w:ascii="仿宋_GB2312" w:hAnsi="仿宋_GB2312" w:eastAsia="仿宋_GB2312"/>
          <w:b w:val="0"/>
          <w:sz w:val="32"/>
        </w:rPr>
        <w:t>（信息来源：解放日报8月11日《上海新城高质量发展行动方案发布 以“强功能”为主线推进26项重点项目》  https://www.shio.gov.cn/TrueCMS//shxwbgs/ywts/content/74a0c11a-be38-44b1-8b4b-7a552337dbb0.htm）</w:t>
      </w:r>
    </w:p>
    <w:p>
      <w:pPr>
        <w:spacing w:lineRule="exact" w:line="560" w:before="160" w:after="80"/>
        <w:ind w:firstLine="640"/>
      </w:pPr>
      <w:r>
        <w:rPr>
          <w:rFonts w:ascii="黑体" w:hAnsi="黑体" w:eastAsia="黑体"/>
          <w:b/>
          <w:sz w:val="32"/>
        </w:rPr>
        <w:t>重庆印发“十五五”社会发展规划 数字赋能改革增效建设全龄友好社会</w:t>
      </w:r>
    </w:p>
    <w:p>
      <w:pPr>
        <w:spacing w:lineRule="exact" w:line="560" w:after="40"/>
        <w:ind w:firstLine="640"/>
      </w:pPr>
      <w:r>
        <w:rPr>
          <w:rFonts w:ascii="仿宋_GB2312" w:hAnsi="仿宋_GB2312" w:eastAsia="仿宋_GB2312"/>
          <w:b w:val="0"/>
          <w:sz w:val="32"/>
        </w:rPr>
        <w:t>重庆市政府印发《重庆市“十五五”社会发展规划（2026—2030年）》，坚持人民至上，深化数字赋能改革增效，加强普惠性、基础性、兜底性民生建设，着力缩小地区差距、城乡差别，统筹推动社会事业高质量发展。规划明确主要指标：基本医疗保险参保率达95%左右，城乡居民人均可支配收入比预期缩小至2.1∶1左右，义务教育优质均衡发展区县比例从24.32%跃升至100%，劳动年龄人口平均受教育年限提高到12.1年，人均预期寿命达80.5岁。一是构建全龄友好型社会。共筑生育友好型社会，打造青年圆梦之城，建设老年友好型社会，促进人口长期均衡发展。二是建设新时代教育强市。实施新时代立德树人工程，促进基础教育公平优质发展，加快高等教育突破跃升，推动职业教育提质领跑，构筑高质量教育发展生态。三是实施就业优先战略。健全就业促进体制机制，更大力度促进重点群体就业，大力支持自主创业、灵活就业。四是推进健康中国重庆行动。保障超大城市公共卫生安全，加强优质高效智慧医疗服务供给，深化医药卫生体制改革，推进中医药传承创新发展。五是优化住房供应体系。提高住房保障水平，大力建设“好房子”“好小区”，探索房地产发展新模式。六是健全社会保障体系与推进公共服务数智化改革。健全社会保险制度，构建多层次医疗保障体系；稳步推进基本公共服务均等化，全域打造高品质生活服务圈，推进公共服务数智化改革。</w:t>
      </w:r>
    </w:p>
    <w:p>
      <w:pPr>
        <w:spacing w:lineRule="exact" w:line="560" w:after="200"/>
        <w:ind w:firstLine="640"/>
      </w:pPr>
      <w:r>
        <w:rPr>
          <w:rFonts w:ascii="仿宋_GB2312" w:hAnsi="仿宋_GB2312" w:eastAsia="仿宋_GB2312"/>
          <w:b w:val="0"/>
          <w:sz w:val="32"/>
        </w:rPr>
        <w:t>（信息来源：重庆日报8月11日《重庆市“十五五”社会发展规划（2026—2030年）印发》  https://www.cqrb.cn/shishi/2026-08-11/2748117_pc.html）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