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560"/>
        <w:jc w:val="center"/>
      </w:pPr>
      <w:r>
        <w:rPr>
          <w:rFonts w:ascii="黑体" w:cs="黑体" w:eastAsia="黑体" w:hAnsi="黑体"/>
          <w:b/>
          <w:bCs/>
          <w:sz w:val="44"/>
          <w:szCs w:val="44"/>
        </w:rPr>
        <w:t xml:space="preserve">媒体信息摘报</w:t>
      </w:r>
    </w:p>
    <w:p>
      <w:pPr>
        <w:spacing w:after="300" w:line="560"/>
        <w:jc w:val="center"/>
      </w:pPr>
      <w:r>
        <w:rPr>
          <w:rFonts w:ascii="仿宋_GB2312" w:cs="仿宋_GB2312" w:eastAsia="仿宋_GB2312" w:hAnsi="仿宋_GB2312"/>
          <w:sz w:val="32"/>
          <w:szCs w:val="32"/>
        </w:rPr>
        <w:t xml:space="preserve">2026年6月16日（星期二）</w:t>
      </w:r>
    </w:p>
    <w:p>
      <w:pPr>
        <w:pBdr>
          <w:bottom w:val="single" w:color="1a3a6b" w:sz="6" w:space="1"/>
        </w:pBdr>
        <w:spacing w:after="200" w:line="560"/>
      </w:pPr>
      <w:r>
        <w:rPr>
          <w:sz w:val="2"/>
          <w:szCs w:val="2"/>
        </w:rPr>
        <w:t xml:space="preserve"/>
      </w:r>
    </w:p>
    <w:p>
      <w:pPr>
        <w:spacing w:after="100" w:before="300" w:line="560"/>
      </w:pPr>
      <w:r>
        <w:rPr>
          <w:rFonts w:ascii="黑体" w:cs="黑体" w:eastAsia="黑体" w:hAnsi="黑体"/>
          <w:b/>
          <w:bCs/>
          <w:sz w:val="32"/>
          <w:szCs w:val="32"/>
        </w:rPr>
        <w:t xml:space="preserve">① 向“人工智能产业创新发展第一区”挺进</w:t>
      </w:r>
    </w:p>
    <w:p>
      <w:pPr>
        <w:spacing w:after="100" w:line="560"/>
        <w:ind w:firstLine="640"/>
      </w:pPr>
      <w:r>
        <w:rPr>
          <w:rFonts w:ascii="仿宋_GB2312" w:cs="仿宋_GB2312" w:eastAsia="仿宋_GB2312" w:hAnsi="仿宋_GB2312"/>
          <w:sz w:val="32"/>
          <w:szCs w:val="32"/>
        </w:rPr>
        <w:t xml:space="preserve">国家人工智能应用中试基地（具身智能）近日在杭州高新区（滨江）正式揭牌启用。这是国家“人工智能+”战略部署中，唯一一个面向具身智能领域的国家级应用中试基地，使命是辐射全国，核心目标是建设全栈国产化的具身基础设施、打造应用导向的职业技能训练场、形成自主可控的具身智能产业集群，培育全球竞争力的具身智能企业，输出国际水平的行业标准。基地运营主体为杭州具身智能中试基地科技有限公司（混合所有制），由高新科创集团、杭州市数据集团、宇树科技、传化智联共同持股，定位中立、公共、开放。首批入驻企业18家，覆盖智能驾驶、本体制造、模型研发、数据采集、二次开发、算力服务、咨询培训等全产业链环节；共建合伙人18家，集聚宇树科技、银河通用、摩尔线程、沐曦股份等来自北京、上海、杭州的头部企业。基地联合华为共同成立“具身智能联合创新中心”，推动具身智能国家标准建设。基地构建“四中心”核心架构：数据供给中心攻克具身智能数据获取成本高、格式互不通用的痛点，基于宇树机器人采集并开源第一批真机数据集；模型服务平台联合阿里达摩院成立“具身智能产业创新加速器”，推动国产芯片与整机厂联合适配；算力保障平台依托杭州市人工智能训练场搭建专用算力环境；应用验证平台打通全国典型场景，对接井下作业、电力巡检等真实需求。杭州高新区（滨江）锚定“三塔并进”路线：塔尖加速前沿突破，推进具身智能应用中试基地体系化建设；塔身做强应用矩阵，在行业大模型、智能终端等领域培育爆款产品；塔基夯实基础支撑，体系化提升算力供给能力。2025年高新区（滨江）数字经济核心产业增加值占GDP比重超过70%，万人发明专利拥有量全省第一，在全国人工智能版图中是罕见的“软硬兼备”区域。</w:t>
      </w:r>
    </w:p>
    <w:p>
      <w:pPr>
        <w:spacing w:after="200" w:line="560"/>
      </w:pPr>
      <w:r>
        <w:rPr>
          <w:rFonts w:ascii="仿宋_GB2312" w:cs="仿宋_GB2312" w:eastAsia="仿宋_GB2312" w:hAnsi="仿宋_GB2312"/>
          <w:color w:val="555555"/>
          <w:sz w:val="28"/>
          <w:szCs w:val="28"/>
        </w:rPr>
        <w:t xml:space="preserve">（信息来源：浙江日报 6月16日 </w:t>
      </w:r>
      <w:hyperlink w:history="1" r:id="rIddut2dhugpk7ygr3w3gwuo">
        <w:r>
          <w:rPr>
            <w:rFonts w:ascii="仿宋_GB2312" w:cs="仿宋_GB2312" w:eastAsia="仿宋_GB2312" w:hAnsi="仿宋_GB2312"/>
            <w:color w:val="2d5aa0"/>
            <w:sz w:val="28"/>
            <w:szCs w:val="28"/>
            <w:u w:val="single"/>
          </w:rPr>
          <w:t xml:space="preserve">原文链接</w:t>
        </w:r>
      </w:hyperlink>
      <w:r>
        <w:rPr>
          <w:rFonts w:ascii="仿宋_GB2312" w:cs="仿宋_GB2312" w:eastAsia="仿宋_GB2312" w:hAnsi="仿宋_GB2312"/>
          <w:color w:val="555555"/>
          <w:sz w:val="28"/>
          <w:szCs w:val="28"/>
        </w:rPr>
        <w:t xml:space="preserve">）</w:t>
      </w:r>
    </w:p>
    <w:p>
      <w:pPr>
        <w:spacing w:after="100" w:before="300" w:line="560"/>
      </w:pPr>
      <w:r>
        <w:rPr>
          <w:rFonts w:ascii="黑体" w:cs="黑体" w:eastAsia="黑体" w:hAnsi="黑体"/>
          <w:b/>
          <w:bCs/>
          <w:sz w:val="32"/>
          <w:szCs w:val="32"/>
        </w:rPr>
        <w:t xml:space="preserve">② 【奋进“十五五” 开局起好步】嘉峪关着力打造文旅新场景——打好“长城牌” 开辟“新赛道”</w:t>
      </w:r>
    </w:p>
    <w:p>
      <w:pPr>
        <w:spacing w:after="100" w:line="560"/>
        <w:ind w:firstLine="640"/>
      </w:pPr>
      <w:r>
        <w:rPr>
          <w:rFonts w:ascii="仿宋_GB2312" w:cs="仿宋_GB2312" w:eastAsia="仿宋_GB2312" w:hAnsi="仿宋_GB2312"/>
          <w:sz w:val="32"/>
          <w:szCs w:val="32"/>
        </w:rPr>
        <w:t xml:space="preserve">嘉峪关正通过“文化IP+数字科技+沉浸体验”的深度融合，将各类创新元素不断融入文旅产业，让游客从原来的“看景”变为亲身“入戏”。嘉峪关4月25日推出“天下嘉峪关”沉浸式夜游关城项目，打破传统“日游关城”的单一模式，实现“日游+夜游”无缝衔接。游客从关城东闸门入园，沿碑廊外城墙、文昌阁、朝宗门、东瓮城、演武场、西瓮城向城楼行进，沿途设置变幻光影，搭配风声、马蹄声、驼铃声等全景声效，将古老城墙转化为“活态历史叙事屏”。项目串联“塞外边关、河西风云、长城主宰、中国脊梁”四大主题篇章，还原张骞出使西域、霍去病征战河西等历史场景，融合激光投影、裸眼3D、实景演艺等多种艺术表现手法，增加互动NPC。嘉峪关方特丝路神画景区对园区进行改造，让游客从“看节目”转变为“入戏”的“剧中人”。在“女娲补天”主题游玩区，游客佩戴AR眼镜参与“五彩石保护行动”互动项目；2026年重点对丝路小镇片区进行整体风貌焕新和古风氛围营造，在核心区域打造古风市集，设置多个NPC互动游戏点位，检票员、引导员、操作员全部化身丝路故事里的角色，用符合角色的装扮、语言和动作与游客互动。嘉峪关围绕“长城文化重要标志地”核心定位多维度拓展文旅产品：打造长城印记研学基地，集长城文化研学、非遗展示、技艺体验与艺术交流于一体，同步开设风雨雕、银雕、砂石画等八大特色课程，开发系列化主题化研学路线，培育3个省级研学基地；目前正规划建设崖壁美术馆、悬空咖啡屋，持续推出融合户外运动与文化旅游的特色线路、当地民俗与现代艺术相结合的创意表演等创新产品。嘉峪关市文旅局副局长王斌表示，将紧扣“长城文化重要标志地”的核心定位，推动长城文化旅游带从点状分布向系统体验升级，为古老的长城文化注入可感知、可参与、可消费的全新生命力。</w:t>
      </w:r>
    </w:p>
    <w:p>
      <w:pPr>
        <w:spacing w:after="200" w:line="560"/>
      </w:pPr>
      <w:r>
        <w:rPr>
          <w:rFonts w:ascii="仿宋_GB2312" w:cs="仿宋_GB2312" w:eastAsia="仿宋_GB2312" w:hAnsi="仿宋_GB2312"/>
          <w:color w:val="555555"/>
          <w:sz w:val="28"/>
          <w:szCs w:val="28"/>
        </w:rPr>
        <w:t xml:space="preserve">（信息来源：甘肃日报 6月15日 </w:t>
      </w:r>
      <w:hyperlink w:history="1" r:id="rId6zvtgqlrqbgxdlmsudyot">
        <w:r>
          <w:rPr>
            <w:rFonts w:ascii="仿宋_GB2312" w:cs="仿宋_GB2312" w:eastAsia="仿宋_GB2312" w:hAnsi="仿宋_GB2312"/>
            <w:color w:val="2d5aa0"/>
            <w:sz w:val="28"/>
            <w:szCs w:val="28"/>
            <w:u w:val="single"/>
          </w:rPr>
          <w:t xml:space="preserve">原文链接</w:t>
        </w:r>
      </w:hyperlink>
      <w:r>
        <w:rPr>
          <w:rFonts w:ascii="仿宋_GB2312" w:cs="仿宋_GB2312" w:eastAsia="仿宋_GB2312" w:hAnsi="仿宋_GB2312"/>
          <w:color w:val="555555"/>
          <w:sz w:val="28"/>
          <w:szCs w:val="28"/>
        </w:rPr>
        <w:t xml:space="preserve">）</w:t>
      </w:r>
    </w:p>
    <w:p>
      <w:pPr>
        <w:spacing w:after="100" w:before="300" w:line="560"/>
      </w:pPr>
      <w:r>
        <w:rPr>
          <w:rFonts w:ascii="黑体" w:cs="黑体" w:eastAsia="黑体" w:hAnsi="黑体"/>
          <w:b/>
          <w:bCs/>
          <w:sz w:val="32"/>
          <w:szCs w:val="32"/>
        </w:rPr>
        <w:t xml:space="preserve">③ 8月起陆续施行！四川出台、修订四部省级地方性法规</w:t>
      </w:r>
    </w:p>
    <w:p>
      <w:pPr>
        <w:spacing w:after="100" w:line="560"/>
        <w:ind w:firstLine="640"/>
      </w:pPr>
      <w:r>
        <w:rPr>
          <w:rFonts w:ascii="仿宋_GB2312" w:cs="仿宋_GB2312" w:eastAsia="仿宋_GB2312" w:hAnsi="仿宋_GB2312"/>
          <w:sz w:val="32"/>
          <w:szCs w:val="32"/>
        </w:rPr>
        <w:t xml:space="preserve">6月15日，四川省人大常委会举行专场新闻发布会，发布省十四届人大常委会第二十七次会议审议通过的四部省级地方性法规，包括新制定的《四川省农业机械化促进条例》《四川省开发区条例》，以及修订的《四川省航道条例》《四川省体育条例》，均将于2026年8月起陆续施行。《四川省农业机械化促进条例》是四川首部以“促进”为核心、覆盖农机化全产业链与全发展环节的综合性地方性法规，共9章53条。针对四川丘陵山区耕地占比达78%、丘陵地区主要农作物机械化率仅50%、山区不足40%的实际，条例建立农业机械需求清单制度，定期编制发布农机需求清单，定向引导科研单位、企业针对丘陵山区需求开展研发；完善中试熟化机制，支持建设丘陵山区农机重点实验室、制造业创新中心，布局中试熟化基地和试验场；将农田宜机化改造纳入法规，要求推进田块整治、道路拓宽互通、坡度降低等改造；全国首创“良田、良种、良法、良机”四良协同推进机制；全国地方性法规中率先明确农机数据收集、使用、共享需遵循合法、正当、必要原则。《四川省开发区条例》针对开发区管理体制不顺、主责主业不聚焦、产业同质化等问题，明确开发区为“以发展制造业和生产性服务业为主的产业园区”，推动具备条件的开发区逐步剥离社会事务管理职能，破解“小马拉大车”困境；推行“管委会+公司”运营模式，将招商引资、设施建设、投融资、专业服务等工作委托给市场化运营公司；建立三级规划体系，对发展成熟的开发区推动向城市综合功能区转型，对考核不合格的省级开发区按程序推动退出；新增工业用地需明确固定资产投资强度、亩均税收、开发强度等指标。《四川省航道条例》聚焦流域经济发展拓展水运格局、强化航道运行安全和区域协同、健全航道管养机制、优化服务提升水运营商环境。《四川省体育条例》重点落实全民健身战略、深化体教融合、提升竞技体育实力、培育体育赛事和体育产业。</w:t>
      </w:r>
    </w:p>
    <w:p>
      <w:pPr>
        <w:spacing w:after="200" w:line="560"/>
      </w:pPr>
      <w:r>
        <w:rPr>
          <w:rFonts w:ascii="仿宋_GB2312" w:cs="仿宋_GB2312" w:eastAsia="仿宋_GB2312" w:hAnsi="仿宋_GB2312"/>
          <w:color w:val="555555"/>
          <w:sz w:val="28"/>
          <w:szCs w:val="28"/>
        </w:rPr>
        <w:t xml:space="preserve">（信息来源：四川日报 6月15日 </w:t>
      </w:r>
      <w:hyperlink w:history="1" r:id="rIdv2jig75abs0mcv39gmlve">
        <w:r>
          <w:rPr>
            <w:rFonts w:ascii="仿宋_GB2312" w:cs="仿宋_GB2312" w:eastAsia="仿宋_GB2312" w:hAnsi="仿宋_GB2312"/>
            <w:color w:val="2d5aa0"/>
            <w:sz w:val="28"/>
            <w:szCs w:val="28"/>
            <w:u w:val="single"/>
          </w:rPr>
          <w:t xml:space="preserve">原文链接</w:t>
        </w:r>
      </w:hyperlink>
      <w:r>
        <w:rPr>
          <w:rFonts w:ascii="仿宋_GB2312" w:cs="仿宋_GB2312" w:eastAsia="仿宋_GB2312" w:hAnsi="仿宋_GB2312"/>
          <w:color w:val="555555"/>
          <w:sz w:val="28"/>
          <w:szCs w:val="28"/>
        </w:rPr>
        <w:t xml:space="preserve">）</w:t>
      </w:r>
    </w:p>
    <w:p>
      <w:pPr>
        <w:spacing w:after="100" w:before="300" w:line="560"/>
      </w:pPr>
      <w:r>
        <w:rPr>
          <w:rFonts w:ascii="黑体" w:cs="黑体" w:eastAsia="黑体" w:hAnsi="黑体"/>
          <w:b/>
          <w:bCs/>
          <w:sz w:val="32"/>
          <w:szCs w:val="32"/>
        </w:rPr>
        <w:t xml:space="preserve">④ 以废治污 点“浆”成金——华博水务探索餐厨垃圾资源化利用新路径</w:t>
      </w:r>
    </w:p>
    <w:p>
      <w:pPr>
        <w:spacing w:after="100" w:line="560"/>
        <w:ind w:firstLine="640"/>
      </w:pPr>
      <w:r>
        <w:rPr>
          <w:rFonts w:ascii="仿宋_GB2312" w:cs="仿宋_GB2312" w:eastAsia="仿宋_GB2312" w:hAnsi="仿宋_GB2312"/>
          <w:sz w:val="32"/>
          <w:szCs w:val="32"/>
        </w:rPr>
        <w:t xml:space="preserve">将餐厨垃圾处理过程中产生的有机浆料变废为宝，替代传统化工碳源用于污水处理。天津水务集团所属华博水务公司积极探索污水处理低碳运行新模式，通过餐厨有机浆料替代葡萄糖等传统碳源，不仅保障了污水处理厂稳定脱氮达标，还实现了显著降本减碳效果。在市政污水处理过程中，碳源是微生物反硝化脱氮这一核心工艺的重要保障。长期以来，污水处理厂普遍采用葡萄糖、甲醇、乙酸钠等化工产品作为外加碳源，但存在采购成本高、储运安全风险大以及生产运输环节碳排放较高等问题。随着污水排放标准不断提高，寻找绿色、低成本的新型替代碳源成为行业发展方向。华博水务公司发现，餐厨垃圾经过预处理和三相分离后产生的有机浆料，具有化学需氧量高、可生化性好、来源稳定等特点，具备替代传统碳源的应用潜力。该公司围绕投加策略优化、投加量精准控制和运行安全保障等关键环节进行系统攻关：结合污水处理工艺特点确定最佳投加点位，建设专用投加装置，对管路及加药系统进行升级改造；基于随机森林算法构建投加量量化计算模型，实现碳源精准投加；持续对重金属、微塑料、全氟化合物等特征污染物进行监测，确保处理过程安全可靠。目前系统运行平稳，出水水质各项指标均达到相关排放标准要求。数据显示，相比传统葡萄糖投加方式，万吨规模污水处理厂每年可节省运行成本40余万元，降幅超过50%；同时每年可减少二氧化碳排放300余吨。华博水务公司目前运营管理8座污水处理厂，日均处理污水规模32.3万吨。按照现有处理规模测算，项目全面推广后，每年可节约成本1000余万元，减少二氧化碳排放7500余吨，相当于节约2885吨标准煤或减少950万度火电发电产生的碳排放。该项目已启动相关发明专利申报，并同步开展学术研究，加快形成可复制、可推广的技术标准和应用模式。</w:t>
      </w:r>
    </w:p>
    <w:p>
      <w:pPr>
        <w:spacing w:after="200" w:line="560"/>
      </w:pPr>
      <w:r>
        <w:rPr>
          <w:rFonts w:ascii="仿宋_GB2312" w:cs="仿宋_GB2312" w:eastAsia="仿宋_GB2312" w:hAnsi="仿宋_GB2312"/>
          <w:color w:val="555555"/>
          <w:sz w:val="28"/>
          <w:szCs w:val="28"/>
        </w:rPr>
        <w:t xml:space="preserve">（信息来源：天津日报 6月16日 </w:t>
      </w:r>
      <w:hyperlink w:history="1" r:id="rId-ihkwmeauprxlnsc68chd">
        <w:r>
          <w:rPr>
            <w:rFonts w:ascii="仿宋_GB2312" w:cs="仿宋_GB2312" w:eastAsia="仿宋_GB2312" w:hAnsi="仿宋_GB2312"/>
            <w:color w:val="2d5aa0"/>
            <w:sz w:val="28"/>
            <w:szCs w:val="28"/>
            <w:u w:val="single"/>
          </w:rPr>
          <w:t xml:space="preserve">原文链接</w:t>
        </w:r>
      </w:hyperlink>
      <w:r>
        <w:rPr>
          <w:rFonts w:ascii="仿宋_GB2312" w:cs="仿宋_GB2312" w:eastAsia="仿宋_GB2312" w:hAnsi="仿宋_GB2312"/>
          <w:color w:val="555555"/>
          <w:sz w:val="28"/>
          <w:szCs w:val="28"/>
        </w:rPr>
        <w:t xml:space="preserve">）</w:t>
      </w:r>
    </w:p>
    <w:p>
      <w:pPr>
        <w:spacing w:after="100" w:before="300" w:line="560"/>
      </w:pPr>
      <w:r>
        <w:rPr>
          <w:rFonts w:ascii="黑体" w:cs="黑体" w:eastAsia="黑体" w:hAnsi="黑体"/>
          <w:b/>
          <w:bCs/>
          <w:sz w:val="32"/>
          <w:szCs w:val="32"/>
        </w:rPr>
        <w:t xml:space="preserve">⑤ 天津大学发布“人工智能+教育”改革创新行动方案 全面推动AI融入教育教学</w:t>
      </w:r>
    </w:p>
    <w:p>
      <w:pPr>
        <w:spacing w:after="100" w:line="560"/>
        <w:ind w:firstLine="640"/>
      </w:pPr>
      <w:r>
        <w:rPr>
          <w:rFonts w:ascii="仿宋_GB2312" w:cs="仿宋_GB2312" w:eastAsia="仿宋_GB2312" w:hAnsi="仿宋_GB2312"/>
          <w:sz w:val="32"/>
          <w:szCs w:val="32"/>
        </w:rPr>
        <w:t xml:space="preserve">6月11日，天津大学召开“人工智能+教育”改革创新工作推进会，正式发布《天津大学“人工智能+教育”改革创新行动方案》和《天津大学人工智能应用师生行为指南》两个核心文件，目标是数智赋能教育教学全流程，加快构建“师—生—AI”协同共生、数据驱动、开放共享、可信可控的智能时代教育新生态。《行动方案》从三个层面系统推进：顶层设计层面，夯实智能基座，建设协同贯通的智慧教育改革枢纽，构建开放共享的数据、算力与智能服务支撑系统，打造全学科覆盖的学科大模型和智能体应用平台；教学范式变革层面，系统推进人才培养目标、培养手段、教学组织和评价方式变革，以专业融合课程推动AI技术融入培养全过程，以智能化实践课程提升学生解决复杂问题能力，构建教师主导、学生主体、智能体赋能的“师—生—AI”三元融合教学模式；科研创新范式层面，推动人工智能深度融入各学科门类科技创新的全过程，推动“AI+学科机理+工程场景”深度融合，建设人工智能学科交叉创新平台，加快形成具有天大特色的智能科研创新生态。《行为指南》明确AI使用需遵循“以人为本、科技向善、多元赋能、合规底线、长远发展”的原则，明确师生在教育教学、自主学习、科学研究与行政管理四大场景中提倡鼓励的行为和需避免、坚决禁止的行为，列出AI使用“行为底线清单”，明确人工智能的使用边界、责任主体、数据权限、算法伦理、成果归属和风险处置流程。此举标志着天津大学在高校AI教育改革领域率先迈出实质性步伐，为“人工智能+教育”在全国高校的推广应用提供了制度框架和实践路径。</w:t>
      </w:r>
    </w:p>
    <w:p>
      <w:pPr>
        <w:spacing w:after="200" w:line="560"/>
      </w:pPr>
      <w:r>
        <w:rPr>
          <w:rFonts w:ascii="仿宋_GB2312" w:cs="仿宋_GB2312" w:eastAsia="仿宋_GB2312" w:hAnsi="仿宋_GB2312"/>
          <w:color w:val="555555"/>
          <w:sz w:val="28"/>
          <w:szCs w:val="28"/>
        </w:rPr>
        <w:t xml:space="preserve">（信息来源：天津日报 6月16日 </w:t>
      </w:r>
      <w:hyperlink w:history="1" r:id="rId9_1nyogzp5gfrckuxhy51">
        <w:r>
          <w:rPr>
            <w:rFonts w:ascii="仿宋_GB2312" w:cs="仿宋_GB2312" w:eastAsia="仿宋_GB2312" w:hAnsi="仿宋_GB2312"/>
            <w:color w:val="2d5aa0"/>
            <w:sz w:val="28"/>
            <w:szCs w:val="28"/>
            <w:u w:val="single"/>
          </w:rPr>
          <w:t xml:space="preserve">原文链接</w:t>
        </w:r>
      </w:hyperlink>
      <w:r>
        <w:rPr>
          <w:rFonts w:ascii="仿宋_GB2312" w:cs="仿宋_GB2312" w:eastAsia="仿宋_GB2312" w:hAnsi="仿宋_GB2312"/>
          <w:color w:val="555555"/>
          <w:sz w:val="28"/>
          <w:szCs w:val="28"/>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仿宋_GB2312" w:cs="仿宋_GB2312" w:eastAsia="仿宋_GB2312" w:hAnsi="仿宋_GB2312"/>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ut2dhugpk7ygr3w3gwuo" Type="http://schemas.openxmlformats.org/officeDocument/2006/relationships/hyperlink" Target="https://zjrb.zjol.com.cn/html/2026-06/16/content_3911092.htm?div=-1" TargetMode="External"/><Relationship Id="rId6zvtgqlrqbgxdlmsudyot" Type="http://schemas.openxmlformats.org/officeDocument/2006/relationships/hyperlink" Target="https://gansu.gscn.com.cn/system/2026/06/15/013510857.shtml" TargetMode="External"/><Relationship Id="rIdv2jig75abs0mcv39gmlve" Type="http://schemas.openxmlformats.org/officeDocument/2006/relationships/hyperlink" Target="https://static.cdsb.com/micropub/Articles/202606/233bdb433f9232d7c4a47d8666f2009d.html" TargetMode="External"/><Relationship Id="rId-ihkwmeauprxlnsc68chd" Type="http://schemas.openxmlformats.org/officeDocument/2006/relationships/hyperlink" Target="https://epaper.tianjinwe.com/tjrb/html/2026-06/16/content_143086_3539527.htm" TargetMode="External"/><Relationship Id="rId9_1nyogzp5gfrckuxhy51" Type="http://schemas.openxmlformats.org/officeDocument/2006/relationships/hyperlink" Target="https://epaper.tianjinwe.com/tjrb/html/2026-06/16/content_143086_3539531.ht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2026-06-16T00:34:03.125Z</dcterms:created>
  <dcterms:modified xsi:type="dcterms:W3CDTF">2026-06-16T00:34:03.126Z</dcterms:modified>
</cp:coreProperties>
</file>

<file path=docProps/custom.xml><?xml version="1.0" encoding="utf-8"?>
<Properties xmlns="http://schemas.openxmlformats.org/officeDocument/2006/custom-properties" xmlns:vt="http://schemas.openxmlformats.org/officeDocument/2006/docPropsVTypes"/>
</file>