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after="240"/>
        <w:jc w:val="center"/>
      </w:pPr>
      <w:r>
        <w:rPr>
          <w:rFonts w:ascii="黑体" w:hAnsi="黑体" w:eastAsia="黑体"/>
          <w:b/>
          <w:sz w:val="32"/>
        </w:rPr>
        <w:t>媒体信息摘报（2026年10月21日）</w:t>
      </w:r>
    </w:p>
    <w:p>
      <w:pPr>
        <w:spacing w:line="560" w:lineRule="exact" w:after="120"/>
      </w:pPr>
      <w:r>
        <w:rPr>
          <w:rFonts w:ascii="黑体" w:hAnsi="黑体" w:eastAsia="黑体"/>
          <w:b/>
          <w:sz w:val="32"/>
        </w:rPr>
        <w:t>1. AI下半场：能做事，更要能预判</w:t>
      </w:r>
    </w:p>
    <w:p>
      <w:pPr>
        <w:spacing w:line="560" w:lineRule="exact" w:after="120"/>
      </w:pPr>
      <w:r>
        <w:rPr>
          <w:rFonts w:ascii="仿宋_GB2312" w:hAnsi="仿宋_GB2312" w:eastAsia="仿宋_GB2312"/>
          <w:b w:val="0"/>
          <w:sz w:val="32"/>
        </w:rPr>
        <w:t>物理AI让人工智能走出屏幕、进入真实环境感知并解决问题，世界模型则像给AI装上“物理常识加脑内沙盘”，推动其从识别世界升级为理解、预测、改造世界。2026物理AI与世界模型大会10月20日在南京开幕，江苏被与会专家视为物理AI与世界模型落地迭代的“天然练兵场”。江苏采取的具体举措为：一是发布9项典型创新成果，覆盖底层基座、通信、工业、自动驾驶、海洋智能等方向，包括PAIWorld世界模型、Maxwell通用具身智能大模型、6G无线信道世界模型等。二是遴选推出50个2026年物理AI与世界模型典型应用场景，覆盖产业发展、社会治理、科学研究、民生服务、消费提质五大领域，后续对标志性场景给予政策资金扶持。三是40家单位发起成立物理AI与世界模型产业联盟，成员含南京大学、中国信通院、阿里云计算等，推动单点技术突破走向产业生态协同。四是现场一批优质合作项目完成签约，总投资额超60亿元，覆盖具身智能整机、世界模型、物理AI芯片等核心赛道；北京极佳视界与南京市建邺区共建异构机器人数据采集创新中心，打造长三角领先的具身机器人头部企业集聚区。五是推动企业抢滩新赛道，先在“虚拟考场”练本领再进入真实世界执行任务；千诀科技将总部搬至江苏国际数据港并发布世界模型品牌Polibrain，苏州登临科技推出“登临紫金”智算服务器提供算力底座，阿里巴巴依托江苏完整智能穿戴产业链推动消费级物理AI跑出产业闭环。</w:t>
      </w:r>
    </w:p>
    <w:p>
      <w:pPr>
        <w:spacing w:line="560" w:lineRule="exact" w:after="240"/>
      </w:pPr>
      <w:r>
        <w:rPr>
          <w:rFonts w:ascii="仿宋_GB2312" w:hAnsi="仿宋_GB2312" w:eastAsia="仿宋_GB2312"/>
          <w:b w:val="0"/>
          <w:sz w:val="32"/>
        </w:rPr>
        <w:t>（信息来源：新华日报10月21日《AI下半场：能做事，更要能预判》  https://xh.xhby.net/pad/con/202610/21/content_1599098.html）</w:t>
      </w:r>
    </w:p>
    <w:p>
      <w:pPr>
        <w:spacing w:line="560" w:lineRule="exact" w:after="120"/>
      </w:pPr>
      <w:r>
        <w:rPr>
          <w:rFonts w:ascii="黑体" w:hAnsi="黑体" w:eastAsia="黑体"/>
          <w:b/>
          <w:sz w:val="32"/>
        </w:rPr>
        <w:t>2. 当企业站上C位，创新链这样“跑”起来</w:t>
      </w:r>
    </w:p>
    <w:p>
      <w:pPr>
        <w:spacing w:line="560" w:lineRule="exact" w:after="120"/>
      </w:pPr>
      <w:r>
        <w:rPr>
          <w:rFonts w:ascii="仿宋_GB2312" w:hAnsi="仿宋_GB2312" w:eastAsia="仿宋_GB2312"/>
          <w:b w:val="0"/>
          <w:sz w:val="32"/>
        </w:rPr>
        <w:t>第七届江苏企业（研发机构）创新大赛决赛近日在泰兴开赛，由江苏省企业研发机构促进会主办，19支队伍登台路演，7位专业评审、30位大众评审现场打分，19个项目分获一、二、三等奖及优秀奖。大赛核心做法是让企业站上创新C位，把“找题”思路讲出来、传出去。具体举措为：一是坚持“一线的难题就是创新的课题”，参赛项目起点均来自生产线现实困境与国家战略真实缺口，如南极机械投入800万元立项船舶气调储粮系统，将置换时间由20小时压缩到15.8小时以内、能耗降低三成；今世缘酒业全年跟产绘出“温湿度与微生物消长”图谱，建成行业首个全流程智能化制曲生产线、月人均产量提升近9倍。二是聚焦“买不来、讨不来”的技术，组织不同行业团队相邻路演，让一家企业攻关经验成为别人解题线索，如斯密特森光电实现日珥镜国产产品市占率七成并攻关大口径望远镜，光微致测攻克激光跟踪仪两项核心技术、测量精度达15微米加5微米每米。三是推动“让一棵树长成一片林”，依托校地共建新型研发机构补齐中试场地、产业资源与应用场景，如海安南通大学高端纺织研究院依托省概念验证中心和中试基地向产业联盟企业开放仪器共享，实现“需求从企业来、研发在研究院、成果回产业去”。四是促进会连办七届，累计近700家次单位报名、超100万人次线上线下参与，强化企业创新主体地位。</w:t>
      </w:r>
    </w:p>
    <w:p>
      <w:pPr>
        <w:spacing w:line="560" w:lineRule="exact" w:after="240"/>
      </w:pPr>
      <w:r>
        <w:rPr>
          <w:rFonts w:ascii="仿宋_GB2312" w:hAnsi="仿宋_GB2312" w:eastAsia="仿宋_GB2312"/>
          <w:b w:val="0"/>
          <w:sz w:val="32"/>
        </w:rPr>
        <w:t>（信息来源：新华日报10月21日《当企业站上C位，创新链这样“跑”起来》  https://xh.xhby.net/pad/con/202610/21/content_1599042.html）</w:t>
      </w:r>
    </w:p>
    <w:p>
      <w:pPr>
        <w:spacing w:line="560" w:lineRule="exact" w:after="120"/>
      </w:pPr>
      <w:r>
        <w:rPr>
          <w:rFonts w:ascii="黑体" w:hAnsi="黑体" w:eastAsia="黑体"/>
          <w:b/>
          <w:sz w:val="32"/>
        </w:rPr>
        <w:t>3. 河北着力推动电子信息产业提质扩容</w:t>
      </w:r>
    </w:p>
    <w:p>
      <w:pPr>
        <w:spacing w:line="560" w:lineRule="exact" w:after="120"/>
      </w:pPr>
      <w:r>
        <w:rPr>
          <w:rFonts w:ascii="仿宋_GB2312" w:hAnsi="仿宋_GB2312" w:eastAsia="仿宋_GB2312"/>
          <w:b w:val="0"/>
          <w:sz w:val="32"/>
        </w:rPr>
        <w:t>河北将以创新驱动为引领，以集群化发展为重点，以集成电路、新型显示、现代通信、能源电子等重点产业为突破口，巩固延伸电子信息产业链条，推动产业提质扩容。具体举措为：一是引导产业有序布局，培育形成“一核（雄安新区创新引领及科技成果转化核心区）、两区（石廊千亿级率先增长区）、两带（保邢邯光伏与电子材料发展带、唐沧电子化学品发展带）、多点支撑”产业格局；雄安新区依托中国星网、芯昇科技等央企带动承接北京非首都功能疏解，石家庄、廊坊锚定专用集成电路、专网通信、新型显示、算力等重点产业发力。二是实施电子信息重点产业链攻坚行动，打造集成电路、卫星通信、新型显示、锂离子电池、算力等五条重点产业链，提升产业链供应链韧性与安全水平。三是建立电子信息领军企业、高成长性企业、创新型企业培育库，每年遴选高成长性企业重点辅导，培育专精特新“小巨人”企业、单项冠军企业，建立上市后备企业清单推动同光半导体、圣昊光电等有条件企业上市。四是滚动实施百项投资亿元以上项目，印发年度重点工作和项目清单，定期组织电子信息产业高质量发展暨项目建设推进会，做好全生命周期服务。五是深化京津冀产业协同，高质量建设京津冀集成电路先进制造业集群，将石家庄打造成关键材料及器件核心区，借鉴深汕特别合作区模式在沧州、唐山共建产业园区开展联合招商，推进京津冀北斗时空产业协同，依托北京创新资源布局一批电子信息中试熟化、可靠性验证公共平台。</w:t>
      </w:r>
    </w:p>
    <w:p>
      <w:pPr>
        <w:spacing w:line="560" w:lineRule="exact" w:after="240"/>
      </w:pPr>
      <w:r>
        <w:rPr>
          <w:rFonts w:ascii="仿宋_GB2312" w:hAnsi="仿宋_GB2312" w:eastAsia="仿宋_GB2312"/>
          <w:b w:val="0"/>
          <w:sz w:val="32"/>
        </w:rPr>
        <w:t>（信息来源：河北日报10月21日《河北着力推动电子信息产业提质扩容》  https://hbxw.hebnews.cn/news/635922.html）</w:t>
      </w:r>
    </w:p>
    <w:p>
      <w:pPr>
        <w:spacing w:line="560" w:lineRule="exact" w:after="120"/>
      </w:pPr>
      <w:r>
        <w:rPr>
          <w:rFonts w:ascii="黑体" w:hAnsi="黑体" w:eastAsia="黑体"/>
          <w:b/>
          <w:sz w:val="32"/>
        </w:rPr>
        <w:t>4. 能说掏心话 共解燃眉急</w:t>
      </w:r>
    </w:p>
    <w:p>
      <w:pPr>
        <w:spacing w:line="560" w:lineRule="exact" w:after="120"/>
      </w:pPr>
      <w:r>
        <w:rPr>
          <w:rFonts w:ascii="仿宋_GB2312" w:hAnsi="仿宋_GB2312" w:eastAsia="仿宋_GB2312"/>
          <w:b w:val="0"/>
          <w:sz w:val="32"/>
        </w:rPr>
        <w:t>西安高新区税务局联合西安市上市企业协会，为上市及拟上市企业财务掌舵人搭建“CFO俱乐部”专属服务平台，主打“能说掏心话 共解燃眉急”。截至目前已举办19期专题沙龙和培训座谈，成为西安税务护航企业高质量发展的特色名片。具体举措为：一是探索“部门协同+专家助力”“实例分享+互动答疑”模式，每期邀请行业专家及科技创新等部门参与，以案例切入、实操破题，如联合科技创新局组建专家团队针对研发费用加计扣除、高新技术企业资格认定等具体问题从政策条文讲到实操细节；陕西半导体先导技术中心曾对研发费用加计扣除政策存在适用困惑，税务部门据此逐一回应。二是依托专属服务交流群搭建“不打烊”云端答疑阵地，实现“一次沙龙、长期跟进”。三是建立“三表一单”机制，企业填“需求表”直达税务部门，税务干部据此匹配“政策确认表”“风险提醒表”，再通过“工作流转单”实现任务派发、督办、验收全流程跟踪，形成“问题发现—分类—解决”闭环。四是沙龙主题覆盖企业从初创到上市、从扎根国内到扬帆海外的全生命周期涉税需求，包括上市合规“第一课”、投融资风险“专题课”及数据资产、AI赋能等新课题。五是打破传统信息壁垒，让企业、税务部门、科技创新部门及金融机构深度对话，精准收集诉求、高效链接资源、深度参与辅导。</w:t>
      </w:r>
    </w:p>
    <w:p>
      <w:pPr>
        <w:spacing w:line="560" w:lineRule="exact" w:after="240"/>
      </w:pPr>
      <w:r>
        <w:rPr>
          <w:rFonts w:ascii="仿宋_GB2312" w:hAnsi="仿宋_GB2312" w:eastAsia="仿宋_GB2312"/>
          <w:b w:val="0"/>
          <w:sz w:val="32"/>
        </w:rPr>
        <w:t>（信息来源：陕西日报10月21日《能说掏心话 共解燃眉急》  https://esb.sxdaily.com.cn/pc/content/202610/21/x2589883.html）</w:t>
      </w:r>
    </w:p>
    <w:p>
      <w:pPr>
        <w:spacing w:line="560" w:lineRule="exact" w:after="120"/>
      </w:pPr>
      <w:r>
        <w:rPr>
          <w:rFonts w:ascii="黑体" w:hAnsi="黑体" w:eastAsia="黑体"/>
          <w:b/>
          <w:sz w:val="32"/>
        </w:rPr>
        <w:t>5. 一起打造优质漫剧梦工厂</w:t>
      </w:r>
    </w:p>
    <w:p>
      <w:pPr>
        <w:spacing w:line="560" w:lineRule="exact" w:after="120"/>
      </w:pPr>
      <w:r>
        <w:rPr>
          <w:rFonts w:ascii="仿宋_GB2312" w:hAnsi="仿宋_GB2312" w:eastAsia="仿宋_GB2312"/>
          <w:b w:val="0"/>
          <w:sz w:val="32"/>
        </w:rPr>
        <w:t>10月20日，首届四川漫剧产业创新伙伴大会在四川日报报业集团举行，以“AI漫天府·万象更新”为主题。大会启动四川AIGC技能人才培训联合体，发布“纵目”优秀AI漫剧作品全球征集计划、海外市场推广伙伴名单，宣布“万象天府”市县文旅漫剧展播平台上线，四川日报报业集团与成都市锦江区政府签署协议共建西部国际AI漫剧产业园并正式揭牌。具体举措为：一是四川日报报业集团扮演生态“组织者”、内容“引领者”、发展“协同者”，打造主流漫剧“硅谷”，建剧本创意联合体，坚持版权优先、内容规范。二是共建西部国际AI漫剧产业园和“六大中心”，构建完整产业链，汇聚技术、算力、创意、传播、人才与场景资源。三是发布海外市场推广伙伴名单和“纵目”优秀AI漫剧作品全球征集计划，依托海外用户超4600万人的国际传播矩阵平台出海。四是推动产业园揭牌、首批服务清单和入驻扶持政策落地。五是《四川省加快推进“人工智能+”一号创新工程实施方案》明确推动人工智能在文化旅游等20个领域应用，四川聚力建平台、出政策、育主体、促出海，微短剧、AI漫剧出海覆盖全球50余个国家和地区、累计触达海外受众超8亿人次；在省委宣传部统筹指导下，四川日报报业集团牵头建设西部国际AI漫剧产业园、组建产业创新联盟，填补四川省AI漫剧专业化、集群化、平台化发展空白。</w:t>
      </w:r>
    </w:p>
    <w:p>
      <w:pPr>
        <w:spacing w:line="560" w:lineRule="exact" w:after="240"/>
      </w:pPr>
      <w:r>
        <w:rPr>
          <w:rFonts w:ascii="仿宋_GB2312" w:hAnsi="仿宋_GB2312" w:eastAsia="仿宋_GB2312"/>
          <w:b w:val="0"/>
          <w:sz w:val="32"/>
        </w:rPr>
        <w:t>（信息来源：华西都市报10月21日《一起打造优质漫剧梦工厂》  https://www.wccdaily.com.cn/shtml/hxdsb/20261021/253463.shtml）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