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黑体" w:hAnsi="黑体" w:eastAsia="黑体"/>
          <w:b/>
          <w:sz w:val="32"/>
        </w:rPr>
        <w:t>2026年8月28日 媒体信息摘报</w:t>
      </w:r>
    </w:p>
    <w:p>
      <w:pPr>
        <w:spacing w:lineRule="exact" w:line="560" w:before="120" w:after="40"/>
      </w:pPr>
      <w:r>
        <w:rPr>
          <w:rFonts w:ascii="黑体" w:hAnsi="黑体" w:eastAsia="黑体"/>
          <w:b/>
          <w:sz w:val="32"/>
        </w:rPr>
        <w:t>1. 打造高端新能源汽车智造高地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上汽智己重仓郑州，采用两期梯次布局，专注高端智能新能源乘用车研发制造，推动郑州汽车产业由规模扩张向品质跃升转型。一是聚焦旗舰大六座SUV智己LS9，对原有产线实施智能化升级，全面导入上汽恒星超级增程技术、数字底盘架构及高阶智能座舱系统，整车智能化、高端化水平位居行业前列。二是投产科技旗舰SUV智己LS8，为30万元级别中少数全线标配线控转向、高阶智驾硬件与800V高压平台的高端量产车型，丰富郑州高端整车产品矩阵。三是依托高端车型本地化量产需求，持续带动高附加值、高技术含量核心配套资源向郑州集聚，推动新能源核心零部件企业落地经开区，完善区域全链条产业布局。四是构建双车型并行生产体系，生产端完成LS9稳定量产与LS8快速产能爬坡，销售端LS9稳居高端增程SUV主流赛道、LS8市场热度持续攀升。五是研发端坚持一年一迭代更新节奏，车型迭代产品及海外出口版本有序推进，LS9出口车型已启动产业化筹备，高端“郑州智造”加速迈向海外市场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（信息来源：河南日报8月28日《打造高端新能源汽车智造高地》 https://dzb.henandaily.cn/html5/2026-08/28/content_10_1808789.htm）</w:t>
      </w:r>
    </w:p>
    <w:p>
      <w:pPr>
        <w:spacing w:lineRule="exact" w:line="560"/>
      </w:pPr>
    </w:p>
    <w:p>
      <w:pPr>
        <w:spacing w:lineRule="exact" w:line="560" w:before="120" w:after="40"/>
      </w:pPr>
      <w:r>
        <w:rPr>
          <w:rFonts w:ascii="黑体" w:hAnsi="黑体" w:eastAsia="黑体"/>
          <w:b/>
          <w:sz w:val="32"/>
        </w:rPr>
        <w:t>2. 丰粮护航：中原农险全链条织密粮食安全“保障网”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中原农险全面展开贯穿粮食生产全周期的“丰粮护航”行动，把风险防线前移、保障服务下沉。一是构建“四体一网”风险管理体系（应急管理体系、气象预警体系、减灾救助体系、保险理赔体系、乡村惠农网）及“保防救赔助”五位一体综合服务体系。二是启动“丰粮护航”行动，通过服务、生产、生态、科技四大护航体系，对备播、整地、施肥、播种、管护、生长、收获七个环节提供全链条服务。三是备播期推广抗湿晚播技术和“机种肥药”一体化服务，印发60万份技术宣传页，提供犁地旋耕播种滴灌服务及2100吨尿素复合肥，创新全国首单商业性小麦出苗率保险。四是生长季开展“一喷三防”统防统治覆盖近72万亩小麦，联合省气象服务中心推送精准预警超1万条，创新“保险+维修”机井保障模式为20万眼机井提供89亿元风险保障。五是汛期启动应急响应，开辟理赔绿色通道，运用卫星遥感、无人机航拍精准查勘，紧急调拨抽水泵446台、水带1万米等物资降低灾害损失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（信息来源：河南日报8月28日《丰粮护航：中原农险全链条织密粮食安全“保障网”》 https://dzb.henandaily.cn/html5/2026-08/28/content_13_1808805.htm）</w:t>
      </w:r>
    </w:p>
    <w:p>
      <w:pPr>
        <w:spacing w:lineRule="exact" w:line="560"/>
      </w:pPr>
    </w:p>
    <w:p>
      <w:pPr>
        <w:spacing w:lineRule="exact" w:line="560" w:before="120" w:after="40"/>
      </w:pPr>
      <w:r>
        <w:rPr>
          <w:rFonts w:ascii="黑体" w:hAnsi="黑体" w:eastAsia="黑体"/>
          <w:b/>
          <w:sz w:val="32"/>
        </w:rPr>
        <w:t>3. 5000万元惠民福利来袭！江西启动2026年文旅消费券发放活动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江西省文旅厅启动2026年全省文旅消费券发放活动，投放5000万元文旅惠民消费券，面向省内外游客让利惠民。一是活动自8月28日起至11月30日结束，依托“游江西”微信小程序每天上午10:00开始发放，通过云闪付支付渠道完成核销。二是覆盖全省700多家A级景区、星级旅游饭店、等级旅游民宿，省内外游客可享A级景区门票五折优惠（单笔上限50元）、旅游住宿满200元减30元定额优惠。三是采用分轮次发放模式，每位游客在单轮活动周期内可分别领用景区门票消费券、住宿消费券各一张，均为一次性专属权益，不找零、不兑现、不拆分、不重复使用。四是开通线上申领渠道，国内游客凭有效身份证件、境外游客凭出入境证件登录“游江西”小程序即可领券，携程、去哪儿、同程、飞猪、美团、抖音等主流OTA平台同步开通专属领券入口。五是线下所有参与主体均设置专属领券二维码，游客前往A级景区、星级旅游饭店、等级旅游民宿线下门店扫描二维码核销使用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（信息来源：江西日报8月28日《5000万元惠民福利来袭！江西启动2026年文旅消费券发放活动》 https://jx.ifeng.com/c/8vvwjxbcnuo）</w:t>
      </w:r>
    </w:p>
    <w:p>
      <w:pPr>
        <w:spacing w:lineRule="exact" w:line="560"/>
      </w:pPr>
    </w:p>
    <w:p>
      <w:pPr>
        <w:spacing w:lineRule="exact" w:line="560" w:before="120" w:after="40"/>
      </w:pPr>
      <w:r>
        <w:rPr>
          <w:rFonts w:ascii="黑体" w:hAnsi="黑体" w:eastAsia="黑体"/>
          <w:b/>
          <w:sz w:val="32"/>
        </w:rPr>
        <w:t>4. 隆福寺老街“潮”起来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隆福寺街区自2025年9月二期全面开业以来，持续深化业态创新与场景升级，将老字号、非遗技艺、文化演艺植入城市更新空间。一是北京稻香村“零号寻宝馆”定位传统饮食文化主题体验式门店，将长城、天坛等地标元素融入糕点造型，推出西游系列馅料、九宫格轻量化礼盒与盲盒礼盒，把传统糕点变为文化体验，今年以来销售额翻倍。二是“隆福非遗里”集合10多家非遗特色店铺，设非遗体验区供游客亲手制作翻里花等作品，承接企业团建、研学团队及外国游客课程，非遗从静态陈列变为可触摸、可参与、可带走。三是中国书店隆福寺店重装开业为“城市文化书房”，设“片羽存真”古籍残页装帧文创专区，融入创新元素盘活古旧书业。四是开心麻花A99剧场采用无柱设计、舞台融入观众席，与海底捞、茉莉奶白等10多家餐饮商户推票根联动优惠，文化消费向更广商业生态辐射。五是街区文化业态占比已近30%，日均客流约6万人次，16:30至22:00客流占比超70%，夜间经济强势崛起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（信息来源：北京日报8月28日《隆福寺老街“潮”起来》 https://so.html5.qq.com/page/real/search_news?docid=70000021_3676a90badc42352）</w:t>
      </w:r>
    </w:p>
    <w:p>
      <w:pPr>
        <w:spacing w:lineRule="exact" w:line="560"/>
      </w:pPr>
    </w:p>
    <w:p>
      <w:pPr>
        <w:spacing w:lineRule="exact" w:line="560" w:before="120" w:after="40"/>
      </w:pPr>
      <w:r>
        <w:rPr>
          <w:rFonts w:ascii="黑体" w:hAnsi="黑体" w:eastAsia="黑体"/>
          <w:b/>
          <w:sz w:val="32"/>
        </w:rPr>
        <w:t>5. HICOOL为全球创客搭起北京舞台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HICOOL 2026全球创业者峰会正在北京举行，五大展区同步开放，为全球创客搭建创新生态舞台。一是设置服务首都高质量发展成果展区、创新创业展区、世界一流高校展区、国际合作展区、创投机构展区，让创新创业生态每一环节都能找到对应位置。二是获奖项目展位“标配”展示融资需求与合作意向（如天使轮拟融资1亿元、寻求客户合作），配合路演环节有效提升优秀项目关注度。三是国际合作展区200多个创业项目来自全球各地，超90%在本届大赛亮相并依托平台接触中国市场，俄罗斯、符拉迪沃斯托克等地企业携机器人、车辆防火微球等项目寻求合作。四是政府引导基金与市场化投资机构提供资本支持，顶尖高校和科研机构展示前沿成果，打通从实验室到市场的转化通道。五是为获奖团队提供全创新生态支持，包括办公场地支持、产业基金对接、展览展示机会及管理培训课程，助力项目从领奖台走向资本市场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（信息来源：北京日报8月28日《HICOOL为全球创客搭起北京舞台》 https://so.html5.qq.com/page/real/search_news?docid=70000021_0686a90b9b883752）</w:t>
      </w:r>
    </w:p>
    <w:p>
      <w:pPr>
        <w:spacing w:lineRule="exact" w:line="5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