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560" w:lineRule="exactly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媒体信息摘报</w:t>
      </w:r>
    </w:p>
    <w:p>
      <w:pPr>
        <w:spacing w:after="400" w:line="560" w:lineRule="exactly"/>
        <w:jc w:val="center"/>
      </w:pPr>
      <w:r>
        <w:rPr>
          <w:rFonts w:ascii="仿宋_GB2312" w:cs="仿宋_GB2312" w:eastAsia="仿宋_GB2312" w:hAnsi="仿宋_GB2312"/>
          <w:sz w:val="32"/>
          <w:szCs w:val="32"/>
        </w:rPr>
        <w:t xml:space="preserve">2026年6月15日（星期一）</w:t>
      </w:r>
    </w:p>
    <w:p>
      <w:pPr>
        <w:spacing w:before="200" w:line="560" w:lineRule="exactly"/>
        <w:ind w:firstLine="48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1．深圳福田AI全链条赋能政务 构建人机协同基层治理新模式</w:t>
      </w:r>
    </w:p>
    <w:p>
      <w:pPr>
        <w:spacing w:line="560" w:lineRule="exactly"/>
        <w:ind w:firstLine="480"/>
        <w:jc w:val="left"/>
      </w:pPr>
      <w:r>
        <w:rPr>
          <w:rFonts w:ascii="仿宋_GB2312" w:cs="仿宋_GB2312" w:eastAsia="仿宋_GB2312" w:hAnsi="仿宋_GB2312"/>
          <w:sz w:val="32"/>
          <w:szCs w:val="32"/>
        </w:rPr>
        <w:t xml:space="preserve">深圳福田区率先探索AI全链条赋能政务服务，推出全国首创AI数智员工体系和"福小i"智能服务体系，构建人机协同基层治理新范式，为全省乃至全国人工智能政务发展提供实践样本。一是推出43类AI数智员工全面上岗，涵盖办公辅助、民生诉求处置和司法仲裁等场景，今年完成自主研发2.0版本迭代和政务外网本地化部署，配套出台全国首个政务辅助智能机器人管理暂行办法以及AI大模型安全管理规范，建立"标准流程+负面清单"双重管控机制，为每名AI数智员工配备专属监护人全程监管复核，所有政务AI应用100%使用国产大模型和国产算力。其中民生诉求助手累计处理案件202万件，仲裁辅助员工将裁决书撰写从小时级压缩至分钟级。二是打造"福小i"智能服务体系，打破部门数据壁垒构建多维数字画像，搭载政策雷达算法实现精准匹配，推出34项覆盖市民全生命周期主动服务事项，累计推送服务提醒超100万人次；同步上线"AI视频办"，累计办件超3万单，7×24小时智能应答响应时间不足20秒。三是打造"福田场景超市"发布1000余个AI应用场景，辖区内备案大模型数量占深圳全市三分之一，打通"场景—产品—产业"完整链路，形成应用催生产业、产业反哺应用的良性循环。</w:t>
      </w:r>
    </w:p>
    <w:p>
      <w:pPr>
        <w:spacing w:line="560" w:lineRule="exactly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（信息来源：</w:t>
      </w:r>
      <w:r>
        <w:rPr>
          <w:rFonts w:ascii="仿宋_GB2312" w:cs="仿宋_GB2312" w:eastAsia="仿宋_GB2312" w:hAnsi="仿宋_GB2312"/>
          <w:sz w:val="32"/>
          <w:szCs w:val="32"/>
        </w:rPr>
        <w:t xml:space="preserve">南方日报 6月15日 </w:t>
      </w:r>
      <w:hyperlink w:history="1" r:id="rIdn3oltnsv5rsetq9t-fb7t">
        <w:r>
          <w:rPr>
            <w:rStyle w:val="Hyperlink"/>
            <w:rFonts w:ascii="仿宋_GB2312" w:cs="仿宋_GB2312" w:eastAsia="仿宋_GB2312" w:hAnsi="仿宋_GB2312"/>
            <w:sz w:val="32"/>
            <w:szCs w:val="32"/>
          </w:rPr>
          <w:t xml:space="preserve">https://epaper.nfnews.com/nfdaily/html/202606/15/content_10173162.html</w:t>
        </w:r>
      </w:hyperlink>
      <w:r>
        <w:rPr>
          <w:rFonts w:ascii="仿宋_GB2312" w:cs="仿宋_GB2312" w:eastAsia="仿宋_GB2312" w:hAnsi="仿宋_GB2312"/>
          <w:sz w:val="32"/>
          <w:szCs w:val="32"/>
        </w:rPr>
        <w:t xml:space="preserve">）</w:t>
      </w:r>
    </w:p>
    <w:p>
      <w:pPr>
        <w:spacing w:before="200" w:line="560" w:lineRule="exactly"/>
        <w:ind w:firstLine="48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2．广东首个游艇租赁项目落地珠海万山 打造大湾区游艇消费"天然客厅"</w:t>
      </w:r>
    </w:p>
    <w:p>
      <w:pPr>
        <w:spacing w:line="560" w:lineRule="exactly"/>
        <w:ind w:firstLine="480"/>
        <w:jc w:val="left"/>
      </w:pPr>
      <w:r>
        <w:rPr>
          <w:rFonts w:ascii="仿宋_GB2312" w:cs="仿宋_GB2312" w:eastAsia="仿宋_GB2312" w:hAnsi="仿宋_GB2312"/>
          <w:sz w:val="32"/>
          <w:szCs w:val="32"/>
        </w:rPr>
        <w:t xml:space="preserve">珠海万山海洋开发试验区率先突破游艇自用限制，落地全省首个游艇租赁项目，以制度创新撬动海洋文旅新业态，推动游艇经济从高端小众走向大众共享。6月12日游艇租赁首航仪式在东澳岛举行，标志着全省首个游艇租赁项目正式投入运营。一是出台全省首部《游艇租赁管理办法》，组建万山游艇俱乐部，明确经营备案流程，划定专属航行水域和停泊码头，采用"商事登记+备案管理"模式赋予租赁游艇合法经营身份，从根源上打通产业堵点。二是针对海岛泊位不足核心难题，放宽停靠限制，允许符合安全标准的渔港、客运码头和临时停靠点承接游艇停泊业务，有效缓解泊位供需矛盾。桂山岛距香港最近仅3海里，对接香港约1.3万艘游艇仅有4300个泊位的需求外溢市场。三是7家相关企业集中签约，其中鸿洲·海豚湾文旅中心项目将建设6.9公顷超级游艇港、118个游艇泊位及超6万平方米文旅中心，深圳湾游艇会将打造国际游艇文化生态岛，填补桂山岛高端旅游业态空白。万山区摒弃传统海岛旅游粗放式增量发展路径，以游艇经济撬动多元业态，推动海岛经济从"拼规模"向"拼质量"跃迁。</w:t>
      </w:r>
    </w:p>
    <w:p>
      <w:pPr>
        <w:spacing w:line="560" w:lineRule="exactly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（信息来源：</w:t>
      </w:r>
      <w:r>
        <w:rPr>
          <w:rFonts w:ascii="仿宋_GB2312" w:cs="仿宋_GB2312" w:eastAsia="仿宋_GB2312" w:hAnsi="仿宋_GB2312"/>
          <w:sz w:val="32"/>
          <w:szCs w:val="32"/>
        </w:rPr>
        <w:t xml:space="preserve">南方日报 6月15日 </w:t>
      </w:r>
      <w:hyperlink w:history="1" r:id="rIdnqcdt_v6ztv4tskyp7ogl">
        <w:r>
          <w:rPr>
            <w:rStyle w:val="Hyperlink"/>
            <w:rFonts w:ascii="仿宋_GB2312" w:cs="仿宋_GB2312" w:eastAsia="仿宋_GB2312" w:hAnsi="仿宋_GB2312"/>
            <w:sz w:val="32"/>
            <w:szCs w:val="32"/>
          </w:rPr>
          <w:t xml:space="preserve">https://epaper.nfnews.com/nfdaily/html/202606/15/content_10173139.html</w:t>
        </w:r>
      </w:hyperlink>
      <w:r>
        <w:rPr>
          <w:rFonts w:ascii="仿宋_GB2312" w:cs="仿宋_GB2312" w:eastAsia="仿宋_GB2312" w:hAnsi="仿宋_GB2312"/>
          <w:sz w:val="32"/>
          <w:szCs w:val="32"/>
        </w:rPr>
        <w:t xml:space="preserve">）</w:t>
      </w:r>
    </w:p>
    <w:p>
      <w:pPr>
        <w:spacing w:before="200" w:line="560" w:lineRule="exactly"/>
        <w:ind w:firstLine="48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3．广州南沙推出"法治惠企十件实事" 以集成式改革全面提升企业获得感</w:t>
      </w:r>
    </w:p>
    <w:p>
      <w:pPr>
        <w:spacing w:line="560" w:lineRule="exactly"/>
        <w:ind w:firstLine="480"/>
        <w:jc w:val="left"/>
      </w:pPr>
      <w:r>
        <w:rPr>
          <w:rFonts w:ascii="仿宋_GB2312" w:cs="仿宋_GB2312" w:eastAsia="仿宋_GB2312" w:hAnsi="仿宋_GB2312"/>
          <w:sz w:val="32"/>
          <w:szCs w:val="32"/>
        </w:rPr>
        <w:t xml:space="preserve">广州南沙区在全省率先推出"法治惠企十件实事"，以南沙区委政法委统筹各方力量，以企业获得感为导向深化营商环境改革，涵盖干部担当、司法保护、执法监管和政务服务等领域，进一步夯实护企安商的法治根基。一是实现参与部门更广、服务举措更实、监督渠道更宽、经验推广更优的四大突破。新增税务、人社、住建和综治中心等部门形成全域协同格局，针对企业痛点实行清单式管理和项目化推进，第二批法治化营商环境观察员正式上任并主动接受人大政协监督。二是推行柔性执法与精准服务。对初次违法且情节轻微企业，以行政辅导替代高额处罚；南沙法院推出"财产保全概括性预担保机制"帮助企业拓宽流动资金空间；区综治中心设立涉企服务专窗和企业诉求直通车，在镇街产业园区设置综治中心工作站，推动涉企矛盾纠纷一站式闭环化解。三是加速涉外法治规则衔接。全国首创涉港商事案件跨域送达联动机制，送达周期从平均6个月压缩至最快7天；首创"3+N"仲裁庭审模式，已集聚31名粤港澳大湾区律师和6家联营律师事务所。2025年南沙新增企业2.5万家，实有市场主体突破28万户。</w:t>
      </w:r>
    </w:p>
    <w:p>
      <w:pPr>
        <w:spacing w:line="560" w:lineRule="exactly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（信息来源：</w:t>
      </w:r>
      <w:r>
        <w:rPr>
          <w:rFonts w:ascii="仿宋_GB2312" w:cs="仿宋_GB2312" w:eastAsia="仿宋_GB2312" w:hAnsi="仿宋_GB2312"/>
          <w:sz w:val="32"/>
          <w:szCs w:val="32"/>
        </w:rPr>
        <w:t xml:space="preserve">南方日报 6月15日 </w:t>
      </w:r>
      <w:hyperlink w:history="1" r:id="rIdz_2uk90crzy0rgsly3jmh">
        <w:r>
          <w:rPr>
            <w:rStyle w:val="Hyperlink"/>
            <w:rFonts w:ascii="仿宋_GB2312" w:cs="仿宋_GB2312" w:eastAsia="仿宋_GB2312" w:hAnsi="仿宋_GB2312"/>
            <w:sz w:val="32"/>
            <w:szCs w:val="32"/>
          </w:rPr>
          <w:t xml:space="preserve">https://epaper.nfnews.com/nfdaily/html/202606/15/content_10173145.html</w:t>
        </w:r>
      </w:hyperlink>
      <w:r>
        <w:rPr>
          <w:rFonts w:ascii="仿宋_GB2312" w:cs="仿宋_GB2312" w:eastAsia="仿宋_GB2312" w:hAnsi="仿宋_GB2312"/>
          <w:sz w:val="32"/>
          <w:szCs w:val="32"/>
        </w:rPr>
        <w:t xml:space="preserve">）</w:t>
      </w:r>
    </w:p>
    <w:p>
      <w:pPr>
        <w:spacing w:before="200" w:line="560" w:lineRule="exactly"/>
        <w:ind w:firstLine="48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4．广东升级8条省级职工技能提升实训路线 计划全年培训产业工人500万人次</w:t>
      </w:r>
    </w:p>
    <w:p>
      <w:pPr>
        <w:spacing w:line="560" w:lineRule="exactly"/>
        <w:ind w:firstLine="480"/>
        <w:jc w:val="left"/>
      </w:pPr>
      <w:r>
        <w:rPr>
          <w:rFonts w:ascii="仿宋_GB2312" w:cs="仿宋_GB2312" w:eastAsia="仿宋_GB2312" w:hAnsi="仿宋_GB2312"/>
          <w:sz w:val="32"/>
          <w:szCs w:val="32"/>
        </w:rPr>
        <w:t xml:space="preserve">广东省总工会发布全新升级的8条省级产业工人技能提升实训路线，构建"1+30+60+N"三位一体培训体系，将技能培训课堂搬到产业链上和生产一线，让产业工人在真实产线中迭代实战技能，着力打造"粤工实训"特色品牌。一是8条升级路线聚焦人工智能、机器人、低空经济和新能源汽车等重点领域，面向全省产业工人全面开放。推进实训阵地数字化升级，搭建智能导览、数字人讲解和AI互动答疑等数字应用场景，建设可感知、可互动、可转化的实景课堂。二是构建"一市一品牌"实训路线体系，依托各地产业优势整合专精特新"小巨人"和制造业单项冠军等优质企业资源，紧扣"百县千镇万村高质量发展工程"和"人工智能+"等重点领域需求，全年培育30条左右省级实训路线，按照全省统一品牌定位、视觉体系和IP形象推进建设。三是实施产业工人成长成才赋能专项行动，2026年计划在30条省级实训路线上组织5万人次实训，开展1万人次人工智能+、新业态劳动者转型升级和"百千万工程"专项技能培训，全年带动全省各级工会培训产业工人500万人次，全面塑造具有全国示范性的"粤工实训"赋能品牌。</w:t>
      </w:r>
    </w:p>
    <w:p>
      <w:pPr>
        <w:spacing w:line="560" w:lineRule="exactly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（信息来源：</w:t>
      </w:r>
      <w:r>
        <w:rPr>
          <w:rFonts w:ascii="仿宋_GB2312" w:cs="仿宋_GB2312" w:eastAsia="仿宋_GB2312" w:hAnsi="仿宋_GB2312"/>
          <w:sz w:val="32"/>
          <w:szCs w:val="32"/>
        </w:rPr>
        <w:t xml:space="preserve">南方日报 6月15日 </w:t>
      </w:r>
      <w:hyperlink w:history="1" r:id="rIdcnh9oeiwqoedxnfmzuc8q">
        <w:r>
          <w:rPr>
            <w:rStyle w:val="Hyperlink"/>
            <w:rFonts w:ascii="仿宋_GB2312" w:cs="仿宋_GB2312" w:eastAsia="仿宋_GB2312" w:hAnsi="仿宋_GB2312"/>
            <w:sz w:val="32"/>
            <w:szCs w:val="32"/>
          </w:rPr>
          <w:t xml:space="preserve">https://epaper.nfnews.com/nfdaily/html/202606/15/content_10173165.html</w:t>
        </w:r>
      </w:hyperlink>
      <w:r>
        <w:rPr>
          <w:rFonts w:ascii="仿宋_GB2312" w:cs="仿宋_GB2312" w:eastAsia="仿宋_GB2312" w:hAnsi="仿宋_GB2312"/>
          <w:sz w:val="32"/>
          <w:szCs w:val="32"/>
        </w:rPr>
        <w:t xml:space="preserve">）</w:t>
      </w:r>
    </w:p>
    <w:p>
      <w:pPr>
        <w:spacing w:before="200" w:line="560" w:lineRule="exactly"/>
        <w:ind w:firstLine="48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5．浙江在全国率先构建公平竞争"三位一体"审查模式 纵深推进全国统一大市场建设</w:t>
      </w:r>
    </w:p>
    <w:p>
      <w:pPr>
        <w:spacing w:line="560" w:lineRule="exactly"/>
        <w:ind w:firstLine="480"/>
        <w:jc w:val="left"/>
      </w:pPr>
      <w:r>
        <w:rPr>
          <w:rFonts w:ascii="仿宋_GB2312" w:cs="仿宋_GB2312" w:eastAsia="仿宋_GB2312" w:hAnsi="仿宋_GB2312"/>
          <w:sz w:val="32"/>
          <w:szCs w:val="32"/>
        </w:rPr>
        <w:t xml:space="preserve">浙江省以反内卷、促公平、畅循环为主线，在全国率先实施省域公平竞争先行先试改革，制度筑基、执法护企和服务赋能一体推进，主动融入服务全国统一大市场建设。一是率先构建"自我审查+集中审查+第三方评估"审查模式，上线全国首个AI赋能全域贯通的公平竞争智审平台，推进招商引资和招标投标等重点领域审查改革，同步出台《浙江省优化营商环境条例》《浙江省反不正当竞争条例》和《浙江省公平竞争审查办法》三部法规，将公平竞争理念深度融入各类产业政策和创新政策，从源头防范出台妨碍统一市场和公平竞争的政策文件。二是连续开展破除地方保护和市场分割专项行动，发布全国首个平台企业竞争合规省级地方标准，督促平台企业取消"仅退款"等不合理规则，2024年以来全省查处网络不正当竞争案件865件，数量居全国前列。推进10类重点产品质量安全赋码核验试点，相关产品信息上传国家追溯平台量占全国51%，99家重点生产企业实现赋码全覆盖。三是成功落地经营者集中委托审查授权，覆盖浙闽赣三省，预计年均审查100件以上，惠及全省创新企业15万家以上，对6181家企业实施反垄断精准辅导。</w:t>
      </w:r>
    </w:p>
    <w:p>
      <w:pPr>
        <w:spacing w:line="560" w:lineRule="exactly"/>
        <w:ind w:firstLine="480"/>
      </w:pPr>
      <w:r>
        <w:rPr>
          <w:rFonts w:ascii="仿宋_GB2312" w:cs="仿宋_GB2312" w:eastAsia="仿宋_GB2312" w:hAnsi="仿宋_GB2312"/>
          <w:sz w:val="32"/>
          <w:szCs w:val="32"/>
        </w:rPr>
        <w:t xml:space="preserve">（信息来源：</w:t>
      </w:r>
      <w:r>
        <w:rPr>
          <w:rFonts w:ascii="仿宋_GB2312" w:cs="仿宋_GB2312" w:eastAsia="仿宋_GB2312" w:hAnsi="仿宋_GB2312"/>
          <w:sz w:val="32"/>
          <w:szCs w:val="32"/>
        </w:rPr>
        <w:t xml:space="preserve">浙江日报 6月15日 </w:t>
      </w:r>
      <w:hyperlink w:history="1" r:id="rIdl4oock90nxxn83pvzae1y">
        <w:r>
          <w:rPr>
            <w:rStyle w:val="Hyperlink"/>
            <w:rFonts w:ascii="仿宋_GB2312" w:cs="仿宋_GB2312" w:eastAsia="仿宋_GB2312" w:hAnsi="仿宋_GB2312"/>
            <w:sz w:val="32"/>
            <w:szCs w:val="32"/>
          </w:rPr>
          <w:t xml:space="preserve">https://zjrb.zjol.com.cn/html/2026-06/15/content_3910931.htm</w:t>
        </w:r>
      </w:hyperlink>
      <w:r>
        <w:rPr>
          <w:rFonts w:ascii="仿宋_GB2312" w:cs="仿宋_GB2312" w:eastAsia="仿宋_GB2312" w:hAnsi="仿宋_GB2312"/>
          <w:sz w:val="32"/>
          <w:szCs w:val="32"/>
        </w:rPr>
        <w:t xml:space="preserve">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3oltnsv5rsetq9t-fb7t" Type="http://schemas.openxmlformats.org/officeDocument/2006/relationships/hyperlink" Target="https://epaper.nfnews.com/nfdaily/html/202606/15/content_10173162.html" TargetMode="External"/><Relationship Id="rIdnqcdt_v6ztv4tskyp7ogl" Type="http://schemas.openxmlformats.org/officeDocument/2006/relationships/hyperlink" Target="https://epaper.nfnews.com/nfdaily/html/202606/15/content_10173139.html" TargetMode="External"/><Relationship Id="rIdz_2uk90crzy0rgsly3jmh" Type="http://schemas.openxmlformats.org/officeDocument/2006/relationships/hyperlink" Target="https://epaper.nfnews.com/nfdaily/html/202606/15/content_10173145.html" TargetMode="External"/><Relationship Id="rIdcnh9oeiwqoedxnfmzuc8q" Type="http://schemas.openxmlformats.org/officeDocument/2006/relationships/hyperlink" Target="https://epaper.nfnews.com/nfdaily/html/202606/15/content_10173165.html" TargetMode="External"/><Relationship Id="rIdl4oock90nxxn83pvzae1y" Type="http://schemas.openxmlformats.org/officeDocument/2006/relationships/hyperlink" Target="https://zjrb.zjol.com.cn/html/2026-06/15/content_3910931.htm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2026-06-15T00:26:46.707Z</dcterms:created>
  <dcterms:modified xsi:type="dcterms:W3CDTF">2026-06-15T00:26:46.708Z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