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80" w:before="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 w:after="200" w:before="0"/>
        <w:jc w:val="center"/>
      </w:pPr>
      <w:r>
        <w:rPr>
          <w:rFonts w:ascii="仿宋_GB2312" w:hAnsi="仿宋_GB2312" w:eastAsia="仿宋_GB2312"/>
          <w:b w:val="0"/>
          <w:sz w:val="32"/>
        </w:rPr>
        <w:t>2026年10月2日　省级党报经济·科技·消费创新举措精选（福建省可借鉴）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24"/>
        </w:rPr>
        <w:t>【说明】本运行（2026-10-02）受检索环境限制，未能获取足量“当日（10月2日）刊发”的省级党报原创新闻；以下为近期（2026年5月—10月）福建省可借鉴的省级创新举措精选，各条均标注真实刊发日期，供内部决策参考。请勿直接作为“当日新闻”对外引用。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1. 我省发放餐饮消费券八折吃黔菜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近日，省商务厅正式启动“食尚贵州·爱上黔菜”餐饮消费券系列活动，依托“一码游贵州”平台发放普惠餐饮补贴，以惠民福利拉动假日消费、助力贵州秋日假日经济升温。具体举措如下：</w:t>
      </w:r>
      <w:r>
        <w:br/>
      </w:r>
      <w:r>
        <w:rPr>
          <w:rFonts w:ascii="仿宋_GB2312" w:hAnsi="仿宋_GB2312" w:eastAsia="仿宋_GB2312"/>
          <w:b w:val="0"/>
          <w:sz w:val="32"/>
        </w:rPr>
        <w:t>一是发放“无门槛8折餐饮优惠”。活动面向全省群众和来黔游客，申领便捷、核销简单，不设消费门槛，直接享受餐饮8折优惠。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二是明确活动时间。活动自9月24日开始，持续至10月31日，覆盖国庆中秋双节及金秋消费旺季。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三是覆盖全省特色美食与商户。酸汤牛肉、酸汤鱼、烙锅、辣子鸡等贵州本土特色美食参与活动，合作商家覆盖全省9个市（州）。</w:t>
      </w:r>
      <w:r>
        <w:br/>
      </w:r>
      <w:r>
        <w:rPr>
          <w:rFonts w:ascii="仿宋_GB2312" w:hAnsi="仿宋_GB2312" w:eastAsia="仿宋_GB2312"/>
          <w:b w:val="0"/>
          <w:sz w:val="32"/>
        </w:rPr>
        <w:t>四是实行政企联动补贴让利。政府部门与餐饮商户协同补贴，既帮助餐饮商户引流增收，也让消费者得到实惠。</w:t>
      </w:r>
      <w:r>
        <w:br/>
      </w:r>
      <w:r>
        <w:rPr>
          <w:rFonts w:ascii="仿宋_GB2312" w:hAnsi="仿宋_GB2312" w:eastAsia="仿宋_GB2312"/>
          <w:b w:val="0"/>
          <w:sz w:val="32"/>
        </w:rPr>
        <w:t>五是兼顾品牌推广。活动以消费券为流量入口，在拉动即时消费的同时推广黔菜品牌，推动传统黔菜创新、新派黔菜出圈，传播贵州山地生态与民族特色饮食文化。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（信息来源：贵州日报10月2日《我省发放餐饮消费券八折吃黔菜》  https://finance.sina.com.cn/jjxw/2026-10-02/doc-inituncv7757222.shtml）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2. 服务业扩能提质 江苏：壮大科技服务业 锻造创新硬实力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江苏以产学研协同创新为抓手，搭建供需对接平台、完善成果转化机制，打通科技成果从实验室走向生产线的关键通道。具体举措如下：</w:t>
      </w:r>
      <w:r>
        <w:br/>
      </w:r>
      <w:r>
        <w:rPr>
          <w:rFonts w:ascii="仿宋_GB2312" w:hAnsi="仿宋_GB2312" w:eastAsia="仿宋_GB2312"/>
          <w:b w:val="0"/>
          <w:sz w:val="32"/>
        </w:rPr>
        <w:t>一是推介“科技淘宝”数字化核心平台。作为全国首家省级新质生产力促进中心，江苏省新质生产力促进中心借鉴电商运营模式，打造公益性线上成果转化载体，破解传统线下对接模式中信息壁垒、沟通低效的痛点。省内所有本科院校及省外多所重点高校均入驻开设线上店铺，平台累计注册用户超9万人、入驻科技店铺187家，企业发布技术需求超3万项，供需匹配对接突破3.5万次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二是落地全国高校区域技术转移转化中心。该中心征集企业技术需求500余项，促进成果供需高效对接。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三是建设省级概念验证中心。江苏已建设25家省级概念验证中心，加速早期科技成果熟化转化。</w:t>
      </w:r>
      <w:r>
        <w:br/>
      </w:r>
      <w:r>
        <w:rPr>
          <w:rFonts w:ascii="仿宋_GB2312" w:hAnsi="仿宋_GB2312" w:eastAsia="仿宋_GB2312"/>
          <w:b w:val="0"/>
          <w:sz w:val="32"/>
        </w:rPr>
        <w:t>四是推进“概念验证＋拨投结合＋科创基金”模式。用好共建上海（长三角）国际科创中心机遇，加快构建“创新链＋产业链”深度融合的科创生态。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（信息来源：新华日报7月29日《服务业扩能提质 江苏：壮大科技服务业 锻造创新硬实力》  https://www.xhby.net/content/s6a6aea58e4b0b0018d77514b.html）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3. 湖北创新矩阵让实验室直通生产线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湖北围绕科技创新与产业创新深度融合，系统推进制度破壁、平台聚能、资本赋能、人才蓄势，推动实验室成果直通生产线。具体举措如下：</w:t>
      </w:r>
      <w:r>
        <w:br/>
      </w:r>
      <w:r>
        <w:rPr>
          <w:rFonts w:ascii="仿宋_GB2312" w:hAnsi="仿宋_GB2312" w:eastAsia="仿宋_GB2312"/>
          <w:b w:val="0"/>
          <w:sz w:val="32"/>
        </w:rPr>
        <w:t>一是建立中试平台5级梯队培育体系。针对“中试平台不足、成果转化链条不畅”问题，省经信厅、省科技厅加快整改，新认定35家省级制造业中试平台，14家纳入工信部重点培育名单；九峰山实验室、武汉中科先进院两家国家级中试平台服务覆盖全国20余省、超400家企业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二是推行“科学家＋项目经理＋工程师＋技术经理人”协同机制。光谷实验室通过该机制三年内推动274项知识产权转化。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三是实施职务科技成果赋权改革。开展高校院所存量专利“盘活”、新增专利申请前评估，推动专利从“数量规模”向“质量提升”跨越。</w:t>
      </w:r>
      <w:r>
        <w:br/>
      </w:r>
      <w:r>
        <w:rPr>
          <w:rFonts w:ascii="仿宋_GB2312" w:hAnsi="仿宋_GB2312" w:eastAsia="仿宋_GB2312"/>
          <w:b w:val="0"/>
          <w:sz w:val="32"/>
        </w:rPr>
        <w:t>四是设立“创投＋产投”政府引导基金体系。已决策设立参股基金28只、规模966亿元、实缴138.7亿元，实投招引项目462个、金额148亿元，带动社会投资超500亿元。</w:t>
      </w:r>
      <w:r>
        <w:br/>
      </w:r>
      <w:r>
        <w:rPr>
          <w:rFonts w:ascii="仿宋_GB2312" w:hAnsi="仿宋_GB2312" w:eastAsia="仿宋_GB2312"/>
          <w:b w:val="0"/>
          <w:sz w:val="32"/>
        </w:rPr>
        <w:t>五是完善科技型中小微企业知识价值信用贷款。省级和市州按1∶1比例共同出资设立首期规模10亿元的风险补偿资金池；截至2026年8月末，发放贷款917.36亿元，服务企业2.16万家；将科技型小微企业首贷补偿比例从80%提高至90%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（信息来源：湖北日报9月25日《湖北创新矩阵让实验室直通生产线》  https://news.hubeidaily.net/pc/c_6017628.html）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4. 湖南投入5亿元促消费！买车最高补5000元，还有1亿元消费券要发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2026“购在湖南·乐享消费”金秋购物季在长沙启动，紧扣中秋、国庆、双十一消费旺季，省市统筹投入资金近5亿元，在全省各市州开展百余场重点促消费活动。具体举措如下：</w:t>
      </w:r>
      <w:r>
        <w:br/>
      </w:r>
      <w:r>
        <w:rPr>
          <w:rFonts w:ascii="仿宋_GB2312" w:hAnsi="仿宋_GB2312" w:eastAsia="仿宋_GB2312"/>
          <w:b w:val="0"/>
          <w:sz w:val="32"/>
        </w:rPr>
        <w:t>一是安排汽车购新补贴。长沙安排2300万元开展汽车购新补贴；9月25日推出“十一放价 驾享星城”活动，按购车发票金额阶梯式补贴：5万—10万元补2000元/辆，10万—20万元补3000元/辆，20万—30万元补4000元/辆，30万元以上补5000元/辆，不要求报废或置换旧车。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发放1亿元省级消费券。10月省商务厅、省财政厅组织开展“乐享湖南·湘当有惠”消费券发放，安排省级财政1亿元，聚焦餐饮、零售、家政、体育赛事、图书、演艺等领域，通过支付宝、云闪付、美团、抖音、京东等平台分批次发放，先到先得、用完即止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实施“人工智能＋消费”行动。优化智能家居补贴品类，新增数码相机、运动相机、无人机、智能耳机等纳入补贴，按最终售价15%补贴，智能安防等8大类单品最高补1500元，智能影音娱乐、智能穿戴类最高补500元。</w:t>
      </w:r>
      <w:r>
        <w:br/>
      </w:r>
      <w:r>
        <w:rPr>
          <w:rFonts w:ascii="仿宋_GB2312" w:hAnsi="仿宋_GB2312" w:eastAsia="仿宋_GB2312"/>
          <w:b w:val="0"/>
          <w:sz w:val="32"/>
        </w:rPr>
        <w:t>四是推行“票根经济”。长沙推出50余场特色活动，实现一张票根打通“吃住行游”。</w:t>
      </w:r>
      <w:r>
        <w:br/>
      </w:r>
      <w:r>
        <w:rPr>
          <w:rFonts w:ascii="仿宋_GB2312" w:hAnsi="仿宋_GB2312" w:eastAsia="仿宋_GB2312"/>
          <w:b w:val="0"/>
          <w:sz w:val="32"/>
        </w:rPr>
        <w:t>五是下沉市场联动。衡阳发放1030万元零售餐饮加油住宿消费券，湘西州、张家界开展“国补下乡”，以政企双补激活下沉市场。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（信息来源：湖南日报9月24日《湖南投入5亿元促消费！买车最高补5000元，还有1亿元消费券要发》  https://swt.hunan.gov.cn/swt/hnswt/mt/202609/t20260924_11405584191926832.html）</w:t>
      </w:r>
    </w:p>
    <w:p>
      <w:pPr>
        <w:spacing w:lineRule="exact" w:line="560" w:after="80" w:before="0"/>
      </w:pPr>
      <w:r>
        <w:rPr>
          <w:rFonts w:ascii="黑体" w:hAnsi="黑体" w:eastAsia="黑体"/>
          <w:b/>
          <w:sz w:val="32"/>
        </w:rPr>
        <w:t>5. 浙江加快新场景建设应用</w:t>
      </w:r>
    </w:p>
    <w:p>
      <w:pPr>
        <w:spacing w:lineRule="exact" w:line="560" w:after="80" w:before="0"/>
      </w:pPr>
      <w:r>
        <w:rPr>
          <w:rFonts w:ascii="仿宋_GB2312" w:hAnsi="仿宋_GB2312" w:eastAsia="仿宋_GB2312"/>
          <w:b w:val="0"/>
          <w:sz w:val="32"/>
        </w:rPr>
        <w:t>浙江印发《浙江省加快新场景建设应用 推动科技和产业高质量发展行动方案（2026—2027年）》，提出从2026年起，每年开放150个以上新场景，推进一批新技术、新产品的首用首试，带动有效投资3000亿元以上。具体举措如下：</w:t>
      </w:r>
      <w:r>
        <w:br/>
      </w:r>
      <w:r>
        <w:rPr>
          <w:rFonts w:ascii="仿宋_GB2312" w:hAnsi="仿宋_GB2312" w:eastAsia="仿宋_GB2312"/>
          <w:b w:val="0"/>
          <w:sz w:val="32"/>
        </w:rPr>
        <w:t>一是聚焦五方面发力。行动方案围绕前沿科技创新、产业转型升级、行业智慧监管、高效社会治理、普惠民生服务等五方面，在人工智能、脑机接口、全空间无人体系、海洋经济等24个重点领域发力，形成“技术突破—场景验证—产业应用—体系升级”完整链条，塑造“浙里新场景”品牌。</w:t>
      </w:r>
      <w:r>
        <w:br/>
      </w:r>
      <w:r>
        <w:rPr>
          <w:rFonts w:ascii="仿宋_GB2312" w:hAnsi="仿宋_GB2312" w:eastAsia="仿宋_GB2312"/>
          <w:b w:val="0"/>
          <w:sz w:val="32"/>
        </w:rPr>
        <w:t>二是打造“人工智能＋”典型应用场景。到2027年底，计划打造300个以上“人工智能＋”典型应用场景，推动新一代智能终端、企业智能体等在重点行业应用普及率超过75%；打造人形机器人“导览导购”“进厂打工”“生活帮手”“服役上岗”等场景，到2027年带动整机年产量突破2万台。</w:t>
      </w:r>
      <w:r>
        <w:br/>
      </w:r>
      <w:r>
        <w:rPr>
          <w:rFonts w:ascii="仿宋_GB2312" w:hAnsi="仿宋_GB2312" w:eastAsia="仿宋_GB2312"/>
          <w:b w:val="0"/>
          <w:sz w:val="32"/>
        </w:rPr>
        <w:t>三是推进民生领域智慧化。在养老助残托育上推广“一床一码”智能终端、发展银发电商平台，构建智能看护、健康监测、风险预警等场景；在跨界融合消费上培育VR虚拟现实、无人零售终端等技术融合消费场景。</w:t>
      </w:r>
    </w:p>
    <w:p>
      <w:pPr>
        <w:spacing w:lineRule="exact" w:line="560" w:after="240" w:before="0"/>
      </w:pPr>
      <w:r>
        <w:rPr>
          <w:rFonts w:ascii="仿宋_GB2312" w:hAnsi="仿宋_GB2312" w:eastAsia="仿宋_GB2312"/>
          <w:b w:val="0"/>
          <w:sz w:val="32"/>
        </w:rPr>
        <w:t>（信息来源：浙江日报5月11日《浙江加快新场景建设应用》  https://zjdaily.zjol.com.cn/html/2026-05/11/content_3902285.htm）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