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60" w:lineRule="exact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媒体信息摘报</w:t>
      </w:r>
    </w:p>
    <w:p>
      <w:pPr>
        <w:spacing w:line="560" w:lineRule="exact"/>
        <w:jc w:val="center"/>
      </w:pPr>
      <w:r>
        <w:rPr>
          <w:rFonts w:ascii="仿宋_GB2312" w:cs="仿宋_GB2312" w:eastAsia="仿宋_GB2312" w:hAnsi="仿宋_GB2312"/>
          <w:sz w:val="32"/>
          <w:szCs w:val="32"/>
        </w:rPr>
        <w:t xml:space="preserve">6月30日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1.</w:t>
      </w:r>
      <w:r>
        <w:rPr>
          <w:rFonts w:ascii="黑体" w:cs="黑体" w:eastAsia="黑体" w:hAnsi="黑体"/>
          <w:b/>
          <w:bCs/>
          <w:sz w:val="32"/>
          <w:szCs w:val="32"/>
        </w:rPr>
        <w:t xml:space="preserve">萧山区：加快锻造杭州都市圈现代服务业区域中心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萧山以工业与服务业"两业融合"为牵引，加快锻造杭州都市圈现代服务业区域中心。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一是以产业社区为载体布局人工智能全链条。2025年以来，萧山布局芯模、芯创、芯机三大人工智能产业社区。芯模社区聚焦"芯模适配"中试验证，打造长三角首个全闭环AI产业社区。芯创社区聚焦"AI+医疗"，建成全省首个政企数据融合应用服务中心，构建"数据—模型—场景"完整闭环。芯机社区以AI服务器产业集群、智能终端产业链为重点，打造全国人工智能终端设备智造高地。今年5月，数搭国际数据开源社区正式发布，聚焦高质量开源数据集和国际化开发者协作，力争两年内数据集累计下载量超2亿次，专家规模超100万人，带动AI数据产业规模超100亿元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二是推动人工智能"进工厂"。2025年，萧山推出人工智能赋能制造业"十大场景"揭榜挂帅，推动传统制造企业借助AI完成智能化改造。在全省首创"场景券"政策，整合超2亿元资金形成"五券"体系，企业采购AI解决方案可直接抵扣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三是推动"链主"企业与传统制造企业双向转型。以科百特为例，建设集成电路材料中试与验证平台，牵头建设膜材料小镇，催生2.73平方公里产业空间。以友成机工为例，对关键设备实施智能化改造，打通从订单到绩效的全链条，并孵化友成科技，为制造型企业提供数字化转型解决方案。兆丰机电、胜达集团、航民股份等企业与高能级科创平台合作，打造行业垂类人工智能大模型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四是培育生活性服务业新优势。依托"双会之区"优势发展赛演经济、会展经济，同时积极培育国潮、宠物、悦己等新兴情绪消费业态，围绕全民健康、智慧养老、到家服务等领域培育生活性服务业新增长点。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（信息来源：浙江日报6月30日《萧山区：加快锻造杭州都市圈现代服务业区域中心》  https://zjrb.zjol.com.cn/html/2026-06/30/content_3914329.htm）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2.</w:t>
      </w:r>
      <w:r>
        <w:rPr>
          <w:rFonts w:ascii="黑体" w:cs="黑体" w:eastAsia="黑体" w:hAnsi="黑体"/>
          <w:b/>
          <w:bCs/>
          <w:sz w:val="32"/>
          <w:szCs w:val="32"/>
        </w:rPr>
        <w:t xml:space="preserve">2026海河国际消费季启动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2026购在中国·天津专场暨海河国际消费季正式启动，活动时间从即日起至9月底，围绕商品消费、服务消费、入境消费等领域推出千余场促消费活动，覆盖全市主要商圈、特色街区、文旅景区等重点消费场所。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一是构建"5+10+16+X"活动框架。整体框架包括开展政策赋能、融合创新、品质提升、夜间经济、优化服务等五大主题行动；举办"夏日清新 独爱天津"暑期文旅消费主题活动、第31届中国天津投资贸易洽谈会、2026海河国际消费论坛、乐享津城艺术季、俄罗斯美食文化节、第七届天津夜生活节、天津体育消费节等10场标杆活动，其中沉浸式演艺船、夜津城公交专线将在夜生活节期间亮相；16个行政区按照"一区一主题"推出系列活动及特色消费场景；各大金融机构、商协会、商圈、线上平台等同步联动，开展超千场配套活动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二是强化政策工具协同。用好以旧换新、有奖发票等政策，引导相关区、金融机构发放近亿元汽车、零售、文旅类消费券，精准支持汽车消费、夜间消费、文旅消费等重点领域，直接降低居民消费成本。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三是推动文商旅体展深度融合。围绕商品消费、服务消费、入境消费等领域多点发力，结合暑期消费旺季，打造文商旅体展多元化消费场景，丰富消费供给，提升消费体验。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四是促进服务消费与特色产业联动。引入中医药服务消费和服务贸易融合发展试点地区建设元素，开展非遗技艺展示、养生科普等活动，推动健康消费、文化消费与服务贸易融合发展。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（信息来源：天津日报6月30日《2026海河国际消费季启动》  https://epaper.tianjinwe.com/tjrb/html/2026-06/30/content_143094_3587492.htm）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3.</w:t>
      </w:r>
      <w:r>
        <w:rPr>
          <w:rFonts w:ascii="黑体" w:cs="黑体" w:eastAsia="黑体" w:hAnsi="黑体"/>
          <w:b/>
          <w:bCs/>
          <w:sz w:val="32"/>
          <w:szCs w:val="32"/>
        </w:rPr>
        <w:t xml:space="preserve">项目密集落地，服务业态跃升，上半年祖庙街道拼出奔跑加速度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祖庙街道以"高铁+地铁"双枢纽为契机，推动服务业态全链条跃升，加速冲刺千亿镇街。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一是打造高铁未来城综合枢纽。广湛高铁佛山站综合枢纽面积29.4万平方米，将打通高铁与3条地铁无缝换乘通道，远期年旅客发送量可达600万人次。同步开发总面积约9.3平方公里、总投资487亿元的综合性枢纽新城——高铁未来城，布局实施"旧改焕城、枢纽筑城、数智联城、科创耀城、品质塑城"五大行动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二是加速产业地块与项目落地。今年春天，祖庙街道十多年来首个科研性质产业地块成功出让，佛山植宝科技竞得并计划总投资3亿元建设科技总部基地；佛山220千伏城北输变电线路通道建设工程启动，为广湛高铁佛山站、沿线重点产业和招商项目提供电力保障；佛山九小鲤鱼沙校区动工，完善高铁未来城公共服务配套；边检站东侧智造产业园项目、快捷65号街区焕新项目等正在推进，瞄准引入培育科创研发制造企业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三是推动古镇文旅焕新。围绕莲升片区焕新改造全面重启项目，深度活化老城街巷、保育骑楼肌理，打造"甜蜜经济示范街区"，以文商旅融合承接高铁客流红利。佛山绿地中心T4大楼内伊丽汇新总部装饰装修工程加速推进，预计今年下半年正式进驻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四是做强总部经济与"法务+"产业。上半年，炜衡（佛山）律师事务所、北京德恒（佛山）律师事务所等4家头部律所密集驻扎祖庙街道，瞄准"法务+"产业发展方向，以泛法务产业融入佛山中央商务区发展。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五是激活全域服务消费。盒马旗下超盒算NB双店齐发，普君新城店、华强广场店开业；美团旗下社区超市品牌快乐猴华南首店落地东方广场。佛山万象天地、禅城金铂总部两大商业综合体进入建设、招商收尾阶段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（信息来源：南方日报6月30日《项目密集落地，服务业态跃升，上半年祖庙街道拼出奔跑加速度》  https://static.nfnews.com/content/202606/30/c12576463.html）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4.</w:t>
      </w:r>
      <w:r>
        <w:rPr>
          <w:rFonts w:ascii="黑体" w:cs="黑体" w:eastAsia="黑体" w:hAnsi="黑体"/>
          <w:b/>
          <w:bCs/>
          <w:sz w:val="32"/>
          <w:szCs w:val="32"/>
        </w:rPr>
        <w:t xml:space="preserve">农行佛山分行：绿色金融撬动电力装备新跨越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农行佛山分行将绿色金融作为服务新质生产力的主战场，通过机制创新、产品迭代和全链条赋能，支持佛山新型电力系统装备产业发展。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一是建立"规划—规则—服务—投放"一体化融合模式。将重点项目清单、企业培育目录全面嵌入信贷准入、规模配置、审批流程、产品体系四大核心环节；建立政银常态化联动机制，定期对接市发改、工信、招商及供电部门，同步更新电网三年行动项目库与电力装备龙头白名单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二是开辟产业专属绿色通道。成立电力装备产业金融专班，配置专职客户经理与审查审批专员，设立专项审批绿色通道，线上业务承诺3个工作日内完成审查；对产业链上的中小配套科创企业，线上信用贷款实现系统自动审批、当日提款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三是创新差异化信贷服务。单独切块新型电力装备产业专项额度，优先保障电网倍增项目、"专精特新"企业技改及储能研发项目；对高新技术及"专精特新"企业执行最低普惠科创优惠利率，较一般制造业贷款利率下浮10至30个基点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四是完善多元化增信方式。将变压器、智能配电设备、储能控制系统等发明专利纳入质押担保范围；联动政府性担保公司对电力中小企业配套发放信用贷款；依托产业链核心龙头企业，对上游供应商办理"链捷贷"，只要龙头企业确权，上游中小企业即可免抵押融资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五是打造全生命周期产品矩阵。针对初创期企业推出纯线上"科技e贷"；针对成长扩产阶段企业匹配"中期流贷"与"知识产权质押贷"；针对成熟龙头链主提供固定资产贷款及厂房按揭贷。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（信息来源：南方日报6月30日《农行佛山分行：绿色金融撬动电力装备新跨越》  https://static.nfnews.com/content/202606/30/c12576454.html）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5.</w:t>
      </w:r>
      <w:r>
        <w:rPr>
          <w:rFonts w:ascii="黑体" w:cs="黑体" w:eastAsia="黑体" w:hAnsi="黑体"/>
          <w:b/>
          <w:bCs/>
          <w:sz w:val="32"/>
          <w:szCs w:val="32"/>
        </w:rPr>
        <w:t xml:space="preserve">银发经济向阳生长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2026东北亚国际银发经济合作交流活动在沈阳举行，辽宁以智慧赋能、跨界联动、精准适配推动银发经济发展。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一是以智慧技术赋能养老新场景。设置智慧养老创新科技展区，集中展示AI+养老、脑机接口等智慧康养新质生产力产品；举办养老机构数智化提升发展培训班，引导机构推进智能技术、智能产品落地应用，实现数字技术与养老服务深度融合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二是搭建东北亚银发产业协同平台。辽宁省养老服务业联合会牵头，联合黑龙江、吉林、内蒙古及日本、韩国养老行业社会组织，成立"东北亚银发产业协同圈"，搭建政策对话与产业对接桥梁，推动跨境养老产业协同发展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三是推动政企研多方合作。东软完成与广州、宁波、通辽、丹东等11个城市合作签约，扩大城市数字化养老基础设施落地规模；与9家智能硬件、产业管理、生活服务、文旅康养合作伙伴签约，升级"教医养康旅"全场景生态体系。中国老龄产业协会发出倡议，推动各国政企深化产业链协同、科研机构与产业深度融合、政企民多方共建普惠银发生态圈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四是丰富适老化产品与服务供给。展示智能膝关节外骨骼、智能跌倒报警手环、非接触式生命体征监测仪、AI语音辅助用药系统、适老助行机器人、适老化康养房车、全自动洗澡机等产品；推出适老化改造方案，包括玄关增设便民换鞋设施、厨房铺设防滑地面、配备熄火自动断火灶具等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五是深化跨省跨区合作。广西、辽宁在人才交流、旅居康养等方面深化合作；举办东北亚国际养老院院长交流大会，多国养老专业人士交流经验、分享前沿理念。</w:t>
      </w:r>
    </w:p>
    <w:p>
      <w:pPr>
        <w:spacing w:line="560" w:lineRule="exact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（信息来源：辽宁日报6月30日《银发经济向阳生长》  https://epaper.lnd.com.cn/lnrbepaper/pad/con/202606/30/content_330800.html）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2026-06-30T00:08:48.574Z</dcterms:created>
  <dcterms:modified xsi:type="dcterms:W3CDTF">2026-06-30T00:08:48.575Z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