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560" w:lineRule="exact"/>
        <w:jc w:val="center"/>
      </w:pPr>
      <w:r>
        <w:rPr>
          <w:rFonts w:ascii="黑体" w:cs="黑体" w:eastAsia="黑体" w:hAnsi="黑体"/>
          <w:b/>
          <w:bCs/>
          <w:sz w:val="32"/>
          <w:szCs w:val="32"/>
        </w:rPr>
        <w:t xml:space="preserve">媒体信息摘报</w:t>
      </w:r>
    </w:p>
    <w:p>
      <w:pPr>
        <w:spacing w:after="400" w:line="560" w:lineRule="exact"/>
        <w:jc w:val="center"/>
      </w:pPr>
      <w:r>
        <w:rPr>
          <w:rFonts w:ascii="仿宋_GB2312" w:cs="仿宋_GB2312" w:eastAsia="仿宋_GB2312" w:hAnsi="仿宋_GB2312"/>
          <w:sz w:val="32"/>
          <w:szCs w:val="32"/>
        </w:rPr>
        <w:t xml:space="preserve">（2026年6月3日）</w:t>
      </w:r>
    </w:p>
    <w:p>
      <w:pPr>
        <w:spacing w:after="120" w:before="200" w:line="560" w:lineRule="exact"/>
      </w:pPr>
      <w:r>
        <w:rPr>
          <w:rFonts w:ascii="黑体" w:cs="黑体" w:eastAsia="黑体" w:hAnsi="黑体"/>
          <w:b/>
          <w:bCs/>
          <w:sz w:val="32"/>
          <w:szCs w:val="32"/>
        </w:rPr>
        <w:t xml:space="preserve">一、多省份密集部署新一轮国企改革，差异化「施工图」加速落地</w:t>
      </w:r>
    </w:p>
    <w:p>
      <w:pPr>
        <w:spacing w:after="60" w:line="560" w:lineRule="exact"/>
        <w:ind w:firstLine="640"/>
      </w:pPr>
      <w:r>
        <w:rPr>
          <w:rFonts w:ascii="仿宋_GB2312" w:cs="仿宋_GB2312" w:eastAsia="仿宋_GB2312" w:hAnsi="仿宋_GB2312"/>
          <w:sz w:val="32"/>
          <w:szCs w:val="32"/>
        </w:rPr>
        <w:t xml:space="preserve">近日，《关于进一步深化国资国企改革的方案（2026—2029年）》（以下简称「方案」）已下发至地方国资系统和央企，山东、河南、湖北、重庆等20多个省市密集召开国资国企改革工作会议，着手细化本省差异化改革「施工图」。</w:t>
      </w:r>
    </w:p>
    <w:p>
      <w:pPr>
        <w:spacing w:after="60" w:line="560" w:lineRule="exact"/>
        <w:ind w:firstLine="640"/>
      </w:pPr>
      <w:r>
        <w:rPr>
          <w:rFonts w:ascii="仿宋_GB2312" w:cs="仿宋_GB2312" w:eastAsia="仿宋_GB2312" w:hAnsi="仿宋_GB2312"/>
          <w:sz w:val="32"/>
          <w:szCs w:val="32"/>
        </w:rPr>
        <w:t xml:space="preserve">一是锚定国有资本「三个集中」总方向。方案明确推动国有资本向国家安全、民生保障与战略性新兴产业三大赛道集中，力争将央企资产集中到国民经济97个行业大类中的20个重点行业，88%以上营业收入集中于这20个行业。同时推动国有资本从房地产、酒店、商贸等非主业领域有序退出，解决布局战线长、分布广但高端不足的结构性问题。</w:t>
      </w:r>
    </w:p>
    <w:p>
      <w:pPr>
        <w:spacing w:after="60" w:line="560" w:lineRule="exact"/>
        <w:ind w:firstLine="640"/>
      </w:pPr>
      <w:r>
        <w:rPr>
          <w:rFonts w:ascii="仿宋_GB2312" w:cs="仿宋_GB2312" w:eastAsia="仿宋_GB2312" w:hAnsi="仿宋_GB2312"/>
          <w:sz w:val="32"/>
          <w:szCs w:val="32"/>
        </w:rPr>
        <w:t xml:space="preserve">二是各省因地制宜细化实施路径。山东省明确引导企业做强做优主业，健全现代企业制度，推动企业向「微笑曲线」两端延伸，不断增强核心功能与竞争力；河南省提出做好「原字号」「老字号」「新字号」「外字号」四篇强产业大文章，以产业集群驱动国有经济布局优化；重庆市部署2026年深化国资国企改革8方面30项重点任务，聚焦有效投资、产业发展、科技创新等，启动新一轮专业化整合。</w:t>
      </w:r>
    </w:p>
    <w:p>
      <w:pPr>
        <w:spacing w:after="60" w:line="560" w:lineRule="exact"/>
        <w:ind w:firstLine="640"/>
      </w:pPr>
      <w:r>
        <w:rPr>
          <w:rFonts w:ascii="仿宋_GB2312" w:cs="仿宋_GB2312" w:eastAsia="仿宋_GB2312" w:hAnsi="仿宋_GB2312"/>
          <w:sz w:val="32"/>
          <w:szCs w:val="32"/>
        </w:rPr>
        <w:t xml:space="preserve">三是科技创新赋能改革核心任务。方案将科技创新与产业创新深度融合作为本轮改革的核心任务之一，强化国企产业引领和技术攻关主体责任，推动企业从规模扩张型向新质生产力驱动型转变。部分央企已率先落地：东风集团完成资本重组实现东风集团股份100%国有控股，同步分拆岚图汽车独立登陆香港资本市场；中国一汽与中国物流合资组建专业汽车供应链平台公司，推进物流领域专业化整合。</w:t>
      </w:r>
    </w:p>
    <w:p>
      <w:pPr>
        <w:spacing w:after="80" w:before="80" w:line="560" w:lineRule="exact"/>
        <w:ind w:firstLine="640"/>
      </w:pPr>
      <w:r>
        <w:rPr>
          <w:rFonts w:ascii="仿宋_GB2312" w:cs="仿宋_GB2312" w:eastAsia="仿宋_GB2312" w:hAnsi="仿宋_GB2312"/>
          <w:sz w:val="32"/>
          <w:szCs w:val="32"/>
        </w:rPr>
        <w:t xml:space="preserve">（信息来源：经济参考报 6月2日 </w:t>
      </w:r>
      <w:hyperlink w:history="1" r:id="rIdyjt1mlhodpbhoge8jlozv">
        <w:r>
          <w:rPr>
            <w:rStyle w:val="Hyperlink"/>
            <w:rFonts w:ascii="仿宋_GB2312" w:cs="仿宋_GB2312" w:eastAsia="仿宋_GB2312" w:hAnsi="仿宋_GB2312"/>
            <w:sz w:val="32"/>
            <w:szCs w:val="32"/>
          </w:rPr>
          <w:t xml:space="preserve">https://finance.sina.com.cn/roll/2026-06-02/doc-inhzzivs1572605.shtml</w:t>
        </w:r>
      </w:hyperlink>
      <w:r>
        <w:rPr>
          <w:rFonts w:ascii="仿宋_GB2312" w:cs="仿宋_GB2312" w:eastAsia="仿宋_GB2312" w:hAnsi="仿宋_GB2312"/>
          <w:sz w:val="32"/>
          <w:szCs w:val="32"/>
        </w:rPr>
        <w:t xml:space="preserve">）</w:t>
      </w:r>
    </w:p>
    <w:p>
      <w:pPr>
        <w:spacing w:after="120" w:before="200" w:line="560" w:lineRule="exact"/>
      </w:pPr>
      <w:r>
        <w:rPr>
          <w:rFonts w:ascii="黑体" w:cs="黑体" w:eastAsia="黑体" w:hAnsi="黑体"/>
          <w:b/>
          <w:bCs/>
          <w:sz w:val="32"/>
          <w:szCs w:val="32"/>
        </w:rPr>
        <w:t xml:space="preserve">二、浙江构建「四题一评」协同攻关机制，强化企业创新主体地位</w:t>
      </w:r>
    </w:p>
    <w:p>
      <w:pPr>
        <w:spacing w:after="60" w:line="560" w:lineRule="exact"/>
        <w:ind w:firstLine="640"/>
      </w:pPr>
      <w:r>
        <w:rPr>
          <w:rFonts w:ascii="仿宋_GB2312" w:cs="仿宋_GB2312" w:eastAsia="仿宋_GB2312" w:hAnsi="仿宋_GB2312"/>
          <w:sz w:val="32"/>
          <w:szCs w:val="32"/>
        </w:rPr>
        <w:t xml:space="preserve">6月1日至3日，国务院新闻办公室组织近40名中外记者赴浙江采访科技创新与产业创新实践，浙江省副省长何中伟系统介绍了以企业为主导的产学研协同创新「浙江模式」。</w:t>
      </w:r>
    </w:p>
    <w:p>
      <w:pPr>
        <w:spacing w:after="60" w:line="560" w:lineRule="exact"/>
        <w:ind w:firstLine="640"/>
      </w:pPr>
      <w:r>
        <w:rPr>
          <w:rFonts w:ascii="仿宋_GB2312" w:cs="仿宋_GB2312" w:eastAsia="仿宋_GB2312" w:hAnsi="仿宋_GB2312"/>
          <w:sz w:val="32"/>
          <w:szCs w:val="32"/>
        </w:rPr>
        <w:t xml:space="preserve">一是构建「四题一评」协同攻关机制。浙江创新推出「企业出题、政府助题、平台答题、车间验题、市场评价」的全链条机制，将创新「出题权」「牵头权」「评价权」更多交给企业。出台支持企业主导实施省「尖兵」「领雁」项目12条措施，明确来自企业的榜单比例不低于60%，企业牵头或参与项目占比不低于80%，精准匹配产业需求与科研资源。</w:t>
      </w:r>
    </w:p>
    <w:p>
      <w:pPr>
        <w:spacing w:after="60" w:line="560" w:lineRule="exact"/>
        <w:ind w:firstLine="640"/>
      </w:pPr>
      <w:r>
        <w:rPr>
          <w:rFonts w:ascii="仿宋_GB2312" w:cs="仿宋_GB2312" w:eastAsia="仿宋_GB2312" w:hAnsi="仿宋_GB2312"/>
          <w:sz w:val="32"/>
          <w:szCs w:val="32"/>
        </w:rPr>
        <w:t xml:space="preserve">二是持续加大科技创新投入强度。2025年全省科技创新投入达7232亿元，高新技术企业达4.92万家。以杭州为例，近年来财政科技支出年均增长15%以上，新增财力的15%以上用于科技投入，引导企业科技创新投入年均增长6.1%。明确到2030年力争规上工业企业研发机构设置率达65%以上。同期，全省GDP同比增长5.5%，高新技术产业增加值同比增长7.9%，均高于全国平均增速。</w:t>
      </w:r>
    </w:p>
    <w:p>
      <w:pPr>
        <w:spacing w:after="60" w:line="560" w:lineRule="exact"/>
        <w:ind w:firstLine="640"/>
      </w:pPr>
      <w:r>
        <w:rPr>
          <w:rFonts w:ascii="仿宋_GB2312" w:cs="仿宋_GB2312" w:eastAsia="仿宋_GB2312" w:hAnsi="仿宋_GB2312"/>
          <w:sz w:val="32"/>
          <w:szCs w:val="32"/>
        </w:rPr>
        <w:t xml:space="preserve">三是全力打造人工智能创新发展高地。依托DeepSeek、通义千问等全球领先基础大模型，将人工智能纳入全省产业集群培育体系，推动模型、数据、算力一体化发展，夯实人工智能基础底座。同步推动新一代智能终端和智能体发展应用，布局智能机器人、AI眼镜、智能网联车等优质终端产品，2025年人工智能核心产业营收超7000亿元。</w:t>
      </w:r>
    </w:p>
    <w:p>
      <w:pPr>
        <w:spacing w:after="80" w:before="80" w:line="560" w:lineRule="exact"/>
        <w:ind w:firstLine="640"/>
      </w:pPr>
      <w:r>
        <w:rPr>
          <w:rFonts w:ascii="仿宋_GB2312" w:cs="仿宋_GB2312" w:eastAsia="仿宋_GB2312" w:hAnsi="仿宋_GB2312"/>
          <w:sz w:val="32"/>
          <w:szCs w:val="32"/>
        </w:rPr>
        <w:t xml:space="preserve">（信息来源：浙江日报 6月2日 </w:t>
      </w:r>
      <w:hyperlink w:history="1" r:id="rId1yzqq-9vupyviwbii5blq">
        <w:r>
          <w:rPr>
            <w:rStyle w:val="Hyperlink"/>
            <w:rFonts w:ascii="仿宋_GB2312" w:cs="仿宋_GB2312" w:eastAsia="仿宋_GB2312" w:hAnsi="仿宋_GB2312"/>
            <w:sz w:val="32"/>
            <w:szCs w:val="32"/>
          </w:rPr>
          <w:t xml:space="preserve">https://zjrb.zjol.com.cn/html/2026-06/02/content_3907246.htm</w:t>
        </w:r>
      </w:hyperlink>
      <w:r>
        <w:rPr>
          <w:rFonts w:ascii="仿宋_GB2312" w:cs="仿宋_GB2312" w:eastAsia="仿宋_GB2312" w:hAnsi="仿宋_GB2312"/>
          <w:sz w:val="32"/>
          <w:szCs w:val="32"/>
        </w:rPr>
        <w:t xml:space="preserve">）</w:t>
      </w:r>
    </w:p>
    <w:p>
      <w:pPr>
        <w:spacing w:after="120" w:before="200" w:line="560" w:lineRule="exact"/>
      </w:pPr>
      <w:r>
        <w:rPr>
          <w:rFonts w:ascii="黑体" w:cs="黑体" w:eastAsia="黑体" w:hAnsi="黑体"/>
          <w:b/>
          <w:bCs/>
          <w:sz w:val="32"/>
          <w:szCs w:val="32"/>
        </w:rPr>
        <w:t xml:space="preserve">三、广州发布海洋经济发展规划，拟到2030年创建全国海洋经济发展示范区</w:t>
      </w:r>
    </w:p>
    <w:p>
      <w:pPr>
        <w:spacing w:after="60" w:line="560" w:lineRule="exact"/>
        <w:ind w:firstLine="640"/>
      </w:pPr>
      <w:r>
        <w:rPr>
          <w:rFonts w:ascii="仿宋_GB2312" w:cs="仿宋_GB2312" w:eastAsia="仿宋_GB2312" w:hAnsi="仿宋_GB2312"/>
          <w:sz w:val="32"/>
          <w:szCs w:val="32"/>
        </w:rPr>
        <w:t xml:space="preserve">6月3日，《南方日报》报道，广州市发布海洋经济发展规划，明确到2030年全市海洋生产总值突破7300亿元、创建全国海洋经济发展示范区。2025年广州海洋生产总值为5231亿元，占地区生产总值16.3%，「十五五」期间预计再增约2070亿元。</w:t>
      </w:r>
    </w:p>
    <w:p>
      <w:pPr>
        <w:spacing w:after="60" w:line="560" w:lineRule="exact"/>
        <w:ind w:firstLine="640"/>
      </w:pPr>
      <w:r>
        <w:rPr>
          <w:rFonts w:ascii="仿宋_GB2312" w:cs="仿宋_GB2312" w:eastAsia="仿宋_GB2312" w:hAnsi="仿宋_GB2312"/>
          <w:sz w:val="32"/>
          <w:szCs w:val="32"/>
        </w:rPr>
        <w:t xml:space="preserve">一是构建「一带三区」海洋空间布局。以环珠江口「黄金内湾」为核心空间载体，统筹江河沿岸资源打造海洋创新发展带，同时布局三大海洋特色创新区：南部强化国际航运枢纽和深海科技前沿阵地功能，东部打造全国海洋智能装备制造中心，中部建设海洋总部集聚基地和海丝文商旅特色街区。</w:t>
      </w:r>
    </w:p>
    <w:p>
      <w:pPr>
        <w:spacing w:after="60" w:line="560" w:lineRule="exact"/>
        <w:ind w:firstLine="640"/>
      </w:pPr>
      <w:r>
        <w:rPr>
          <w:rFonts w:ascii="仿宋_GB2312" w:cs="仿宋_GB2312" w:eastAsia="仿宋_GB2312" w:hAnsi="仿宋_GB2312"/>
          <w:sz w:val="32"/>
          <w:szCs w:val="32"/>
        </w:rPr>
        <w:t xml:space="preserve">二是部署深海未来产业体系。培育深海机器人产业，推进南沙机器人创新中心建设；推动天然气水合物研发和商业化开发总部基地落户广州；攻克兆瓦级波浪能发电装置、闭式循环温差能发电系统等核心技术；探索建设集发射、回收、测试、运维于一体的海上商业航天产业集聚区。同步实施「深蓝种业」工程，突破深远海养殖品种育种及全人工繁育技术。</w:t>
      </w:r>
    </w:p>
    <w:p>
      <w:pPr>
        <w:spacing w:after="60" w:line="560" w:lineRule="exact"/>
        <w:ind w:firstLine="640"/>
      </w:pPr>
      <w:r>
        <w:rPr>
          <w:rFonts w:ascii="仿宋_GB2312" w:cs="仿宋_GB2312" w:eastAsia="仿宋_GB2312" w:hAnsi="仿宋_GB2312"/>
          <w:sz w:val="32"/>
          <w:szCs w:val="32"/>
        </w:rPr>
        <w:t xml:space="preserve">三是推进国家级平台与湾区合作。全力争取崂山实验室广东基地、国家深海极地战略平台、「梦想」号深海探测全国重点实验室等落地广州，筹建海洋地质碳封存工程技术研究中心。携手港澳推进海事仲裁、船舶认证等资质互认，探索数据跨境安全有序流动与航运票据融资创新，推动大湾区航运规则高水平衔接。</w:t>
      </w:r>
    </w:p>
    <w:p>
      <w:pPr>
        <w:spacing w:after="80" w:before="80" w:line="560" w:lineRule="exact"/>
        <w:ind w:firstLine="640"/>
      </w:pPr>
      <w:r>
        <w:rPr>
          <w:rFonts w:ascii="仿宋_GB2312" w:cs="仿宋_GB2312" w:eastAsia="仿宋_GB2312" w:hAnsi="仿宋_GB2312"/>
          <w:sz w:val="32"/>
          <w:szCs w:val="32"/>
        </w:rPr>
        <w:t xml:space="preserve">（信息来源：南方日报 6月3日 </w:t>
      </w:r>
      <w:hyperlink w:history="1" r:id="rIdmphks2ph5rllcjkamd6mb">
        <w:r>
          <w:rPr>
            <w:rStyle w:val="Hyperlink"/>
            <w:rFonts w:ascii="仿宋_GB2312" w:cs="仿宋_GB2312" w:eastAsia="仿宋_GB2312" w:hAnsi="仿宋_GB2312"/>
            <w:sz w:val="32"/>
            <w:szCs w:val="32"/>
          </w:rPr>
          <w:t xml:space="preserve">https://epaper.nfnews.com/nfdaily/html/202606/03/content_10172167.html</w:t>
        </w:r>
      </w:hyperlink>
      <w:r>
        <w:rPr>
          <w:rFonts w:ascii="仿宋_GB2312" w:cs="仿宋_GB2312" w:eastAsia="仿宋_GB2312" w:hAnsi="仿宋_GB2312"/>
          <w:sz w:val="32"/>
          <w:szCs w:val="32"/>
        </w:rPr>
        <w:t xml:space="preserve">）</w:t>
      </w:r>
    </w:p>
    <w:p>
      <w:pPr>
        <w:spacing w:after="120" w:before="200" w:line="560" w:lineRule="exact"/>
      </w:pPr>
      <w:r>
        <w:rPr>
          <w:rFonts w:ascii="黑体" w:cs="黑体" w:eastAsia="黑体" w:hAnsi="黑体"/>
          <w:b/>
          <w:bCs/>
          <w:sz w:val="32"/>
          <w:szCs w:val="32"/>
        </w:rPr>
        <w:t xml:space="preserve">四、云浮出台绿色国际化城市决定，预计2027年实现「县县通高铁」</w:t>
      </w:r>
    </w:p>
    <w:p>
      <w:pPr>
        <w:spacing w:after="60" w:line="560" w:lineRule="exact"/>
        <w:ind w:firstLine="640"/>
      </w:pPr>
      <w:r>
        <w:rPr>
          <w:rFonts w:ascii="仿宋_GB2312" w:cs="仿宋_GB2312" w:eastAsia="仿宋_GB2312" w:hAnsi="仿宋_GB2312"/>
          <w:sz w:val="32"/>
          <w:szCs w:val="32"/>
        </w:rPr>
        <w:t xml:space="preserve">6月1日，云浮市召开新闻发布会，解读《云浮市人民代表大会常务委员会关于加快建设绿色国际化城市的决定》（以下简称「决定」），以高铁CBD为牵引加速融湾发展。该决定共8个部分、20项内容，从统筹机制、绿色底色、宜居空间、高铁CBD、国际化能级五个维度作出系统安排。</w:t>
      </w:r>
    </w:p>
    <w:p>
      <w:pPr>
        <w:spacing w:after="60" w:line="560" w:lineRule="exact"/>
        <w:ind w:firstLine="640"/>
      </w:pPr>
      <w:r>
        <w:rPr>
          <w:rFonts w:ascii="仿宋_GB2312" w:cs="仿宋_GB2312" w:eastAsia="仿宋_GB2312" w:hAnsi="仿宋_GB2312"/>
          <w:sz w:val="32"/>
          <w:szCs w:val="32"/>
        </w:rPr>
        <w:t xml:space="preserve">一是规划建设高铁站CBD核心片区。将云浮高铁站CBD及周边区域列为重点建设内容，片区规划总面积15平方公里，依托深南高铁云浮站和北师大云浮实验学校两大核心资源，打造融湾城市门户，目标实现「5分钟上高速、20分钟通达中心城区」。同步盘活4800亩产业用地，引导石材走廊向展销、创意设计、电商等业态迭代升级，布局医药健康、人工智能、会展商务等新兴产业。</w:t>
      </w:r>
    </w:p>
    <w:p>
      <w:pPr>
        <w:spacing w:after="60" w:line="560" w:lineRule="exact"/>
        <w:ind w:firstLine="640"/>
      </w:pPr>
      <w:r>
        <w:rPr>
          <w:rFonts w:ascii="仿宋_GB2312" w:cs="仿宋_GB2312" w:eastAsia="仿宋_GB2312" w:hAnsi="仿宋_GB2312"/>
          <w:sz w:val="32"/>
          <w:szCs w:val="32"/>
        </w:rPr>
        <w:t xml:space="preserve">二是加速推进重大交通基础设施。深南高铁、佛肇云高速、广昆高速改扩建等重大项目加快推进，预计2027年实现「县县通高铁」。对外合作方面，云浮已连续三年举办中国（广东云浮）—RCEP产业合作大会，与147个国家和地区建立贸易往来。</w:t>
      </w:r>
    </w:p>
    <w:p>
      <w:pPr>
        <w:spacing w:after="60" w:line="560" w:lineRule="exact"/>
        <w:ind w:firstLine="640"/>
      </w:pPr>
      <w:r>
        <w:rPr>
          <w:rFonts w:ascii="仿宋_GB2312" w:cs="仿宋_GB2312" w:eastAsia="仿宋_GB2312" w:hAnsi="仿宋_GB2312"/>
          <w:sz w:val="32"/>
          <w:szCs w:val="32"/>
        </w:rPr>
        <w:t xml:space="preserve">三是推进生态产品价值转化与宜居空间建设。作为广东唯一国家生态产品价值实现机制试点市，云浮全面摸底生态产品底数、编制目录清单，建设生态产品交易流转服务平台。同步落地云城区北师国际未来社区、新兴县塔脚村国际未来社区2个建设试点和3个省级未来社区试点，打造「好房子、好小区、好社区、好城区」宜居样板。</w:t>
      </w:r>
    </w:p>
    <w:p>
      <w:pPr>
        <w:spacing w:after="80" w:before="80" w:line="560" w:lineRule="exact"/>
        <w:ind w:firstLine="640"/>
      </w:pPr>
      <w:r>
        <w:rPr>
          <w:rFonts w:ascii="仿宋_GB2312" w:cs="仿宋_GB2312" w:eastAsia="仿宋_GB2312" w:hAnsi="仿宋_GB2312"/>
          <w:sz w:val="32"/>
          <w:szCs w:val="32"/>
        </w:rPr>
        <w:t xml:space="preserve">（信息来源：南方日报 6月3日 </w:t>
      </w:r>
      <w:hyperlink w:history="1" r:id="rIdu1to_ghr1kdarcrz2zebd">
        <w:r>
          <w:rPr>
            <w:rStyle w:val="Hyperlink"/>
            <w:rFonts w:ascii="仿宋_GB2312" w:cs="仿宋_GB2312" w:eastAsia="仿宋_GB2312" w:hAnsi="仿宋_GB2312"/>
            <w:sz w:val="32"/>
            <w:szCs w:val="32"/>
          </w:rPr>
          <w:t xml:space="preserve">https://epaper.nfnews.com/nfdaily/html/202606/03/content_10172169.html</w:t>
        </w:r>
      </w:hyperlink>
      <w:r>
        <w:rPr>
          <w:rFonts w:ascii="仿宋_GB2312" w:cs="仿宋_GB2312" w:eastAsia="仿宋_GB2312" w:hAnsi="仿宋_GB2312"/>
          <w:sz w:val="32"/>
          <w:szCs w:val="32"/>
        </w:rPr>
        <w:t xml:space="preserve">）</w:t>
      </w:r>
    </w:p>
    <w:p>
      <w:pPr>
        <w:spacing w:after="120" w:before="200" w:line="560" w:lineRule="exact"/>
      </w:pPr>
      <w:r>
        <w:rPr>
          <w:rFonts w:ascii="黑体" w:cs="黑体" w:eastAsia="黑体" w:hAnsi="黑体"/>
          <w:b/>
          <w:bCs/>
          <w:sz w:val="32"/>
          <w:szCs w:val="32"/>
        </w:rPr>
        <w:t xml:space="preserve">五、教育部等8部门启动「国聘行动」，广东「百万英才汇南粤」目标吸纳超百万毕业生</w:t>
      </w:r>
    </w:p>
    <w:p>
      <w:pPr>
        <w:spacing w:after="60" w:line="560" w:lineRule="exact"/>
        <w:ind w:firstLine="640"/>
      </w:pPr>
      <w:r>
        <w:rPr>
          <w:rFonts w:ascii="仿宋_GB2312" w:cs="仿宋_GB2312" w:eastAsia="仿宋_GB2312" w:hAnsi="仿宋_GB2312"/>
          <w:sz w:val="32"/>
          <w:szCs w:val="32"/>
        </w:rPr>
        <w:t xml:space="preserve">日前，教育部等8部门印发通知，于5月至12月联合开展「国聘行动」，全力促进2026届高校毕业生和往届离校未就业毕业生等重点群体尽早就业。今年全国高校毕业生预计达1270万人，稳就业任务艰巨。</w:t>
      </w:r>
    </w:p>
    <w:p>
      <w:pPr>
        <w:spacing w:after="60" w:line="560" w:lineRule="exact"/>
        <w:ind w:firstLine="640"/>
      </w:pPr>
      <w:r>
        <w:rPr>
          <w:rFonts w:ascii="仿宋_GB2312" w:cs="仿宋_GB2312" w:eastAsia="仿宋_GB2312" w:hAnsi="仿宋_GB2312"/>
          <w:sz w:val="32"/>
          <w:szCs w:val="32"/>
        </w:rPr>
        <w:t xml:space="preserve">一是「国聘行动」从供需两端发力。聚焦制造业、服务业等重点产业领域挖潜更多就业岗位，开展多场以「国聘行动+城市产业专场」为主题的招聘活动，通过产业与人才精准匹配提升就业对接效率。同时，要求各地加强就业服务体系建设，为高校毕业生提供职业指导、技能培训等配套支持。</w:t>
      </w:r>
    </w:p>
    <w:p>
      <w:pPr>
        <w:spacing w:after="60" w:line="560" w:lineRule="exact"/>
        <w:ind w:firstLine="640"/>
      </w:pPr>
      <w:r>
        <w:rPr>
          <w:rFonts w:ascii="仿宋_GB2312" w:cs="仿宋_GB2312" w:eastAsia="仿宋_GB2312" w:hAnsi="仿宋_GB2312"/>
          <w:sz w:val="32"/>
          <w:szCs w:val="32"/>
        </w:rPr>
        <w:t xml:space="preserve">二是广东「百万英才汇南粤」行动计划持续扩容。作为人口大省和就业大省，广东去年已吸纳超110万高校毕业生在粤就业创业，今年目标仍保持100万人以上。今年以来，广东招聘服务热度不减，大型招聘活动有序开展，多城联动「招聘直通车」送岗上门，各类人才专场招聘持续发力，源源不断为毕业生提供优质岗位选择。</w:t>
      </w:r>
    </w:p>
    <w:p>
      <w:pPr>
        <w:spacing w:after="60" w:line="560" w:lineRule="exact"/>
        <w:ind w:firstLine="640"/>
      </w:pPr>
      <w:r>
        <w:rPr>
          <w:rFonts w:ascii="仿宋_GB2312" w:cs="仿宋_GB2312" w:eastAsia="仿宋_GB2312" w:hAnsi="仿宋_GB2312"/>
          <w:sz w:val="32"/>
          <w:szCs w:val="32"/>
        </w:rPr>
        <w:t xml:space="preserve">三是依托粤港澳大湾区产业优势拓宽就业通道。「东西南北中，发展到广东」，当「国聘行动」与「百万英才汇南粤」双向叠加、同频发力，广东凭藉制造业集群、现代服务业和科技创新产业等多元就业空间，持续放大岗位供给与人才红利双重效应，为青年人才扎根湾区创造广阔舞台。</w:t>
      </w:r>
    </w:p>
    <w:p>
      <w:pPr>
        <w:spacing w:after="80" w:before="80" w:line="560" w:lineRule="exact"/>
        <w:ind w:firstLine="640"/>
      </w:pPr>
      <w:r>
        <w:rPr>
          <w:rFonts w:ascii="仿宋_GB2312" w:cs="仿宋_GB2312" w:eastAsia="仿宋_GB2312" w:hAnsi="仿宋_GB2312"/>
          <w:sz w:val="32"/>
          <w:szCs w:val="32"/>
        </w:rPr>
        <w:t xml:space="preserve">（信息来源：南方日报 6月3日 </w:t>
      </w:r>
      <w:hyperlink w:history="1" r:id="rIdwvlhd_atjjbeuvmh0arcv">
        <w:r>
          <w:rPr>
            <w:rStyle w:val="Hyperlink"/>
            <w:rFonts w:ascii="仿宋_GB2312" w:cs="仿宋_GB2312" w:eastAsia="仿宋_GB2312" w:hAnsi="仿宋_GB2312"/>
            <w:sz w:val="32"/>
            <w:szCs w:val="32"/>
          </w:rPr>
          <w:t xml:space="preserve">https://epaper.nfnews.com/nfdaily/html/202606/03/content_10172185.html</w:t>
        </w:r>
      </w:hyperlink>
      <w:r>
        <w:rPr>
          <w:rFonts w:ascii="仿宋_GB2312" w:cs="仿宋_GB2312" w:eastAsia="仿宋_GB2312" w:hAnsi="仿宋_GB2312"/>
          <w:sz w:val="32"/>
          <w:szCs w:val="3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jt1mlhodpbhoge8jlozv" Type="http://schemas.openxmlformats.org/officeDocument/2006/relationships/hyperlink" Target="https://finance.sina.com.cn/roll/2026-06-02/doc-inhzzivs1572605.shtml" TargetMode="External"/><Relationship Id="rId1yzqq-9vupyviwbii5blq" Type="http://schemas.openxmlformats.org/officeDocument/2006/relationships/hyperlink" Target="https://zjrb.zjol.com.cn/html/2026-06/02/content_3907246.htm" TargetMode="External"/><Relationship Id="rIdmphks2ph5rllcjkamd6mb" Type="http://schemas.openxmlformats.org/officeDocument/2006/relationships/hyperlink" Target="https://epaper.nfnews.com/nfdaily/html/202606/03/content_10172167.html" TargetMode="External"/><Relationship Id="rIdu1to_ghr1kdarcrz2zebd" Type="http://schemas.openxmlformats.org/officeDocument/2006/relationships/hyperlink" Target="https://epaper.nfnews.com/nfdaily/html/202606/03/content_10172169.html" TargetMode="External"/><Relationship Id="rIdwvlhd_atjjbeuvmh0arcv" Type="http://schemas.openxmlformats.org/officeDocument/2006/relationships/hyperlink" Target="https://epaper.nfnews.com/nfdaily/html/202606/03/content_10172185.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2026-06-03T00:24:39.254Z</dcterms:created>
  <dcterms:modified xsi:type="dcterms:W3CDTF">2026-06-03T00:24:39.255Z</dcterms:modified>
</cp:coreProperties>
</file>

<file path=docProps/custom.xml><?xml version="1.0" encoding="utf-8"?>
<Properties xmlns="http://schemas.openxmlformats.org/officeDocument/2006/custom-properties" xmlns:vt="http://schemas.openxmlformats.org/officeDocument/2006/docPropsVTypes"/>
</file>