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黑体" w:eastAsia="黑体" w:hAnsi="黑体"/>
          <w:b/>
          <w:bCs/>
          <w:sz w:val="44"/>
          <w:szCs w:val="44"/>
        </w:rPr>
        <w:t xml:space="preserve">媒体信息摘报</w:t>
      </w:r>
    </w:p>
    <w:p>
      <w:pPr>
        <w:spacing w:after="200" w:before="0" w:line="560" w:lineRule="exact"/>
        <w:jc w:val="center"/>
      </w:pPr>
      <w:r>
        <w:rPr>
          <w:rFonts w:ascii="仿宋_GB2312" w:eastAsia="仿宋_GB2312" w:hAnsi="仿宋_GB2312"/>
          <w:sz w:val="32"/>
          <w:szCs w:val="32"/>
        </w:rPr>
        <w:t xml:space="preserve">（2026年8月6日）</w:t>
      </w:r>
    </w:p>
    <w:p>
      <w:pPr>
        <w:spacing w:after="120" w:before="260"/>
        <w:jc w:val="left"/>
      </w:pPr>
      <w:r>
        <w:rPr>
          <w:rFonts w:ascii="黑体" w:eastAsia="黑体" w:hAnsi="黑体"/>
          <w:b/>
          <w:bCs/>
          <w:sz w:val="32"/>
          <w:szCs w:val="32"/>
        </w:rPr>
        <w:t xml:space="preserve">一、江苏六部门联合出台方案推动精细化工产业创新发展</w:t>
      </w:r>
    </w:p>
    <w:p>
      <w:pPr>
        <w:spacing w:after="120" w:before="60" w:line="560" w:lineRule="exact"/>
        <w:jc w:val="left"/>
      </w:pPr>
      <w:r>
        <w:rPr>
          <w:rFonts w:ascii="仿宋_GB2312" w:eastAsia="仿宋_GB2312" w:hAnsi="仿宋_GB2312"/>
          <w:sz w:val="32"/>
          <w:szCs w:val="32"/>
        </w:rPr>
        <w:t xml:space="preserve">江苏省工信厅、省发改委、省科技厅、省生态环境厅、省农业农村厅、省应急管理厅等六部门联合印发《江苏省加快推动精细化工产业创新发展工作方案》，着力破解原始创新能力薄弱、高端产品供给不足、创新成果转化不畅等短板，加快构建高效绿色安全融合的现代精细化工产业体系。一是核心技术攻关，聚焦高端聚烯烃、特种工程塑料、聚氨酯材料、氟硅材料、特种橡胶、高性能纤维、高性能膜材料、电子化学品、新能源化学品及材料、生物基化学品等十大领域，建立动态更新的补短板清单，支持龙头企业牵头组建创新联合体，以“揭榜挂帅”“赛马比拼”开展攻关。二是推进优势领域跃升，推动农药、涂料、化工新材料等细分领域工艺升级、设备更新、产品迭代，实施增品种提品质创品牌行动，向定制化功能化专用化升级，发展服务型制造、提供一体化解决方案。三是人工智能助力升级，推动新一代信息技术、人工智能与精细化工生产深度融合，拓展研发设计、中试验证、生产管理、质量管控、营销服务、运维管理等场景，推动全流程智能化改造。四是完善产业生态，对标国内外一流建设高水平化工园区，定期开展全省化工园区竞争力和智慧化分级评价，督促园区对标改进、提升管理水平与综合竞争力，支持园区精准开展产业链招商，支持优质企业围绕高端化、智能化、绿色化、融合化实施增资扩产，增强园区综合保障和应急能力。</w:t>
      </w:r>
    </w:p>
    <w:p>
      <w:pPr>
        <w:spacing w:after="120" w:before="60" w:line="560" w:lineRule="exact"/>
        <w:jc w:val="left"/>
      </w:pPr>
      <w:r>
        <w:rPr>
          <w:rFonts w:ascii="仿宋_GB2312" w:eastAsia="仿宋_GB2312" w:hAnsi="仿宋_GB2312"/>
          <w:sz w:val="32"/>
          <w:szCs w:val="32"/>
        </w:rPr>
        <w:t xml:space="preserve">（信息来源：新华日报2026年8月6日《江苏六部门联合出台方案推动精细化工产业创新发展》  https://www.js.news.cn/20260806/64896bd3eeca41c99b15337ef2b2ce22/c.html）</w:t>
      </w:r>
    </w:p>
    <w:p>
      <w:pPr>
        <w:spacing w:after="120" w:before="260"/>
        <w:jc w:val="left"/>
      </w:pPr>
      <w:r>
        <w:rPr>
          <w:rFonts w:ascii="黑体" w:eastAsia="黑体" w:hAnsi="黑体"/>
          <w:b/>
          <w:bCs/>
          <w:sz w:val="32"/>
          <w:szCs w:val="32"/>
        </w:rPr>
        <w:t xml:space="preserve">二、云南实施“人工智能+制造”专项行动</w:t>
      </w:r>
    </w:p>
    <w:p>
      <w:pPr>
        <w:spacing w:after="120" w:before="60" w:line="560" w:lineRule="exact"/>
        <w:jc w:val="left"/>
      </w:pPr>
      <w:r>
        <w:rPr>
          <w:rFonts w:ascii="仿宋_GB2312" w:eastAsia="仿宋_GB2312" w:hAnsi="仿宋_GB2312"/>
          <w:sz w:val="32"/>
          <w:szCs w:val="32"/>
        </w:rPr>
        <w:t xml:space="preserve">云南省工信厅等10部门联合印发《云南省“人工智能+制造”专项行动方案》，提出到2027年打造5个以上工业特色垂类大模型、50个以上轻量化小模型，推广50个以上典型应用场景，培育10个标杆企业，建设3个人工智能创新中心和2个工业数据标注基地。一是夯实人工智能底座，建设全省一体化算力态势感知和自动化监测调度平台，推进以昆明万溪冲智算产业园为核心的“一主两辅多点”算力布局，在工业园区建设边缘算力节点、工厂生产端布局算力模块，形成“云边端”一体化供给体系，保障制造业算力需求与供给安全。二是加快AI赋能制造业，按照龙头企业全流程应用、重点企业嵌入生产制造环节、广大中小企业结合实际探索应用的梯度思路，推动人工智能在研发设计、中试验证、生产制造、营销服务、运营管理5个环节深度落地，梯度培育一批标杆应用场景和解决方案供应商。三是发展AI应用新业态，发挥磷化铟、砷化镓、锗单晶片等材料优势做强电子基础材料产业，加快发展智能手机、智能家居等柔性智造，面向南亚东南亚市场布局电子终端产品，研制小型智能农机、天然橡胶割胶机器人等特色装备，建设智能体体验推广中心，引进核心零部件企业，以数字信息大通道为牵引支持昆明建设金砖国家数字产业生态合作网络城市节点。</w:t>
      </w:r>
    </w:p>
    <w:p>
      <w:pPr>
        <w:spacing w:after="120" w:before="60" w:line="560" w:lineRule="exact"/>
        <w:jc w:val="left"/>
      </w:pPr>
      <w:r>
        <w:rPr>
          <w:rFonts w:ascii="仿宋_GB2312" w:eastAsia="仿宋_GB2312" w:hAnsi="仿宋_GB2312"/>
          <w:sz w:val="32"/>
          <w:szCs w:val="32"/>
        </w:rPr>
        <w:t xml:space="preserve">（信息来源：云南日报2026年8月6日《我省实施“人工智能+制造”专项行动》  https://dzxqb.yunnan.cn/html/2026/20260806/20260806_001/20260806_001_02.html）</w:t>
      </w:r>
    </w:p>
    <w:p>
      <w:pPr>
        <w:spacing w:after="120" w:before="260"/>
        <w:jc w:val="left"/>
      </w:pPr>
      <w:r>
        <w:rPr>
          <w:rFonts w:ascii="黑体" w:eastAsia="黑体" w:hAnsi="黑体"/>
          <w:b/>
          <w:bCs/>
          <w:sz w:val="32"/>
          <w:szCs w:val="32"/>
        </w:rPr>
        <w:t xml:space="preserve">三、大湾区动画电影周打通原创IP孵化链路</w:t>
      </w:r>
    </w:p>
    <w:p>
      <w:pPr>
        <w:spacing w:after="120" w:before="60" w:line="560" w:lineRule="exact"/>
        <w:jc w:val="left"/>
      </w:pPr>
      <w:r>
        <w:rPr>
          <w:rFonts w:ascii="仿宋_GB2312" w:eastAsia="仿宋_GB2312" w:hAnsi="仿宋_GB2312"/>
          <w:sz w:val="32"/>
          <w:szCs w:val="32"/>
        </w:rPr>
        <w:t xml:space="preserve">8月6日至10日，2026粤港澳大湾区动画电影周在东莞举行，作为第十六届中国国际动漫博览会核心配套板块，活动集结粤港澳三地影视主管单位、国际动画大师、湾区头部动漫企业与新锐原创创作者，通过八大板块、四大亮点完整打通漫画原创源头到动画工业化生产链路。一是政策护航，开设粤港澳影视政策解读及平行对话会，解读湾区影视扶持政策，发布全新AI影视创意赛事，推介可改编漫画IP，并邀请粤港澳三地主管部门拆解专项扶持、跨境合拍补贴、版权快速登记、AIGC创作补助等配套服务。二是项目孵化，举办动画电影创投推介会，从百余部征集作品筛选优质项目，由行业权威现场点评、对接市场资源，往届已孵化《落凡尘》《大唐妖探》等院线作品。三是人才育才，全新打造影视动画人才秀，构建“企业宣讲—作品观摩—一对一洽谈—创投直通”全链路体系，释放文旅IP总监、AI动画技术负责人等20余个全产业链核心岗位，优秀者直通省级重点动画项目。四是惠民培育，同步开放原创漫画主题展与东莞广州双城公益放映，规划20个免费展位供本土漫画家展示原稿、美术设定与分镜，观众拍摄现场画面发布社交平台可兑换专属纪念周边，配套DIY纪念徽章制作与限定主题集章打卡，持续为小众原创漫画引流破圈。</w:t>
      </w:r>
    </w:p>
    <w:p>
      <w:pPr>
        <w:spacing w:after="120" w:before="60" w:line="560" w:lineRule="exact"/>
        <w:jc w:val="left"/>
      </w:pPr>
      <w:r>
        <w:rPr>
          <w:rFonts w:ascii="仿宋_GB2312" w:eastAsia="仿宋_GB2312" w:hAnsi="仿宋_GB2312"/>
          <w:sz w:val="32"/>
          <w:szCs w:val="32"/>
        </w:rPr>
        <w:t xml:space="preserve">（信息来源：南方都市报2026年8月6日《大湾区动画电影周打通产业链路》  https://www.nfnews.com/content/WyjqGrdko0.html）</w:t>
      </w:r>
    </w:p>
    <w:p>
      <w:pPr>
        <w:spacing w:after="120" w:before="260"/>
        <w:jc w:val="left"/>
      </w:pPr>
      <w:r>
        <w:rPr>
          <w:rFonts w:ascii="黑体" w:eastAsia="黑体" w:hAnsi="黑体"/>
          <w:b/>
          <w:bCs/>
          <w:sz w:val="32"/>
          <w:szCs w:val="32"/>
        </w:rPr>
        <w:t xml:space="preserve">四、“三破三聚”攻坚提质 高邮夯实服务业高质量发展根基</w:t>
      </w:r>
    </w:p>
    <w:p>
      <w:pPr>
        <w:spacing w:after="120" w:before="60" w:line="560" w:lineRule="exact"/>
        <w:jc w:val="left"/>
      </w:pPr>
      <w:r>
        <w:rPr>
          <w:rFonts w:ascii="仿宋_GB2312" w:eastAsia="仿宋_GB2312" w:hAnsi="仿宋_GB2312"/>
          <w:sz w:val="32"/>
          <w:szCs w:val="32"/>
        </w:rPr>
        <w:t xml:space="preserve">高邮市紧扣扬州市委市政府决策部署，坚持“项目为王、实体为本”，以思路“破冰”、动能“破局”、载体“破题”打出项目攻坚组合拳，夯实服务业高质量发展根基。上半年新签约亿元以上服务业项目30个，13个入选省服务业重点监测名录。一是顶层设计引领，开展服务业攻坚突破行动，制定三年行动方案，出台生产性服务业、数字经济等专项扶持政策，构建“市级统筹、园区主战、乡镇协同、部门赋能、国企补充”组织体系，形成全域联动、协同攻坚的生动局面，并以“三个名录”与“三项机制”压实部门牵头责任与镇区主体责任。二是精准赛道突围，推动AI与研发设计、生产制造、运营管理等环节深度融合，依托通用机场、专业试飞基地招引飞行器适航认证、新材料检验检测、工业中试等高端业态；立足差异化发展宠物经济、银发经济，以宠物食品产业园集聚企业15家，“它经济”特色集群初具规模，同时建立梯度培育体系优化存量，推动众储冷链物流园、高邮大虾综合交易中心等项目投产达效。三是项目引建扩容，创新“8744”招商行动，在关键节点聚焦服务业、数字经济、文旅融合集中攻坚，运用“七看七问”工作法穿透式把关项目质量，成功招引总投资55亿元户用光伏数智运营管理项目，推动一批重大项目落地建设。</w:t>
      </w:r>
    </w:p>
    <w:p>
      <w:pPr>
        <w:spacing w:after="120" w:before="60" w:line="560" w:lineRule="exact"/>
        <w:jc w:val="left"/>
      </w:pPr>
      <w:r>
        <w:rPr>
          <w:rFonts w:ascii="仿宋_GB2312" w:eastAsia="仿宋_GB2312" w:hAnsi="仿宋_GB2312"/>
          <w:sz w:val="32"/>
          <w:szCs w:val="32"/>
        </w:rPr>
        <w:t xml:space="preserve">（信息来源：新华日报2026年8月6日《“三破三聚”攻坚提质 高邮夯实服务业高质量发展根基》  https://xh.xhby.net/pad/con/202608/06/content_1578658.html）</w:t>
      </w:r>
    </w:p>
    <w:p>
      <w:pPr>
        <w:spacing w:after="120" w:before="260"/>
        <w:jc w:val="left"/>
      </w:pPr>
      <w:r>
        <w:rPr>
          <w:rFonts w:ascii="黑体" w:eastAsia="黑体" w:hAnsi="黑体"/>
          <w:b/>
          <w:bCs/>
          <w:sz w:val="32"/>
          <w:szCs w:val="32"/>
        </w:rPr>
        <w:t xml:space="preserve">五、AI微短剧要跳出“速朽”怪圈</w:t>
      </w:r>
    </w:p>
    <w:p>
      <w:pPr>
        <w:spacing w:after="120" w:before="60" w:line="560" w:lineRule="exact"/>
        <w:jc w:val="left"/>
      </w:pPr>
      <w:r>
        <w:rPr>
          <w:rFonts w:ascii="仿宋_GB2312" w:eastAsia="仿宋_GB2312" w:hAnsi="仿宋_GB2312"/>
          <w:sz w:val="32"/>
          <w:szCs w:val="32"/>
        </w:rPr>
        <w:t xml:space="preserve">今年上半年AI微短剧赛道迎来体量井喷，全网新上线作品超22.19万部，但播放量破亿仅占0.47%、破千万占5.8%，质量两极分化明显，统计显示爆款率极低、市场数据客观且冰冷，给火热创作端泼了一盆冷水，大量创作者争相涌入新赛道。大众日报发文呼吁从业者从技术依赖中走出，把更多心思放在剧本打磨、人物塑造与情感共鸣上。一是强化内容质量，针对“千剧一面”“重量轻质”的产能过剩痛点，避免低成本高效率模式催生的模仿复制，推动从“拼产量”转向“拼质量”，让技术红利服务于好故事而非替代创作初心，引导行业摆脱粗放式增长，以优质内容沉淀长期受众。二是落实AI标识管理，国家广电总局《微短剧发展管理办法》要求使用人工智能制作的微短剧在每集明显位置添加提示标识，规范AI生成内容的版权登记与权属认定，保护原创者合法权益。三是优化平台推荐，播出平台优先推荐优质微短剧，不得使用诱导用户沉迷、过度消费的算法模型，建立优质内容流量倾斜机制，让精品微短剧获得更合理的分账与曝光，加快低质擦边内容清退。四是推动工业化生产，持续推动AI技术迭代、打造工业化生产体系，凝聚从业者共识，强调人的审美与判断不可替代，在“成本、产能、质量”不可能三角中，以AI解放产能、以人文守住品质，让真正做好内容者迎来黄金时代。</w:t>
      </w:r>
    </w:p>
    <w:p>
      <w:pPr>
        <w:spacing w:after="120" w:before="60" w:line="560" w:lineRule="exact"/>
        <w:jc w:val="left"/>
      </w:pPr>
      <w:r>
        <w:rPr>
          <w:rFonts w:ascii="仿宋_GB2312" w:eastAsia="仿宋_GB2312" w:hAnsi="仿宋_GB2312"/>
          <w:sz w:val="32"/>
          <w:szCs w:val="32"/>
        </w:rPr>
        <w:t xml:space="preserve">（信息来源：大众日报2026年8月6日《AI微短剧要跳出“速朽”怪圈》  https://www.toutiao.com/article/7670678405683085862/）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2026-08-06T00:13:49.459Z</dcterms:created>
  <dcterms:modified xsi:type="dcterms:W3CDTF">2026-08-06T00:13:49.460Z</dcterms:modified>
</cp:coreProperties>
</file>

<file path=docProps/custom.xml><?xml version="1.0" encoding="utf-8"?>
<Properties xmlns="http://schemas.openxmlformats.org/officeDocument/2006/custom-properties" xmlns:vt="http://schemas.openxmlformats.org/officeDocument/2006/docPropsVTypes"/>
</file>