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 w:lineRule="exact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媒体信息摘报</w:t>
      </w:r>
    </w:p>
    <w:p>
      <w:pPr>
        <w:spacing w:line="360"/>
      </w:pPr>
    </w:p>
    <w:p>
      <w:pPr>
        <w:spacing w:line="360" w:lineRule="exact"/>
        <w:jc w:val="left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一、广东创新科技成果"先用后转"新模式，今年科技信贷入库超3500笔</w:t>
      </w:r>
    </w:p>
    <w:p>
      <w:pPr>
        <w:spacing w:line="360" w:lineRule="exact"/>
        <w:ind w:firstLine="480"/>
        <w:jc w:val="left"/>
      </w:pPr>
      <w:r>
        <w:rPr>
          <w:rFonts w:ascii="仿宋_GB2312" w:cs="仿宋_GB2312" w:eastAsia="仿宋_GB2312" w:hAnsi="仿宋_GB2312"/>
          <w:b w:val="false"/>
          <w:bCs w:val="false"/>
          <w:sz w:val="32"/>
          <w:szCs w:val="32"/>
        </w:rPr>
        <w:t xml:space="preserve">广东打出科技成果转化"组合拳"，推出"先用后转"新模式破解转化难题，今年已入库科技信贷超3500笔，覆盖放款规模超50亿元。一是建立"先用后转"成果转化新机制。省科技厅等5部门联合印发《广东省推进职务科技成果"先用后转"改革的若干政策措施》，允许中小微企业零成本先行试用高校和科研院所职务科技成果，企业认可后再协商付费或股权合作，有效降低转化门槛，破解科技成果"转化难"痛点。二是创新科技信贷产品体系。推出"粤科普惠贷""粤科专项贷"等专属产品，为科技型中小企业提供全生命周期低成本融资支持，仅今年已入库科技信贷超3500笔，覆盖放款规模超50亿元。三是构建科技金融政策合力。依托千亿元级战略性新兴产业投资引导基金和100亿元人工智能与机器人产业基金，联动"财政+金融+税收"手段，全省区域创新综合能力连续9年排名全国第一，"深圳—香港—广州"科技集群首次跃居全球创新指数首位。四是推动前沿科技落地民生场景。佛山企业研发全地形无障碍轮椅，采用智能感应系统和履带式结构，可自动检测台阶高度和角度，曾在十五运会和残特奥会期间试点应用，开辟科技助残产业化新路径。</w:t>
      </w:r>
    </w:p>
    <w:p>
      <w:pPr>
        <w:spacing w:line="360" w:lineRule="exact"/>
      </w:pPr>
      <w:r>
        <w:rPr>
          <w:rFonts w:ascii="仿宋_GB2312" w:cs="仿宋_GB2312" w:eastAsia="仿宋_GB2312" w:hAnsi="仿宋_GB2312"/>
          <w:sz w:val="32"/>
          <w:szCs w:val="32"/>
        </w:rPr>
        <w:t xml:space="preserve">（信息来源：</w:t>
      </w:r>
      <w:hyperlink w:history="1" r:id="rIdqvyhikvztnq-ajpprv3z-">
        <w:r>
          <w:rPr>
            <w:rStyle w:val="Hyperlink"/>
            <w:rFonts w:ascii="仿宋_GB2312" w:cs="仿宋_GB2312" w:eastAsia="仿宋_GB2312" w:hAnsi="仿宋_GB2312"/>
            <w:sz w:val="32"/>
            <w:szCs w:val="32"/>
          </w:rPr>
          <w:t xml:space="preserve">南方日报 6月10日 https://epaper.nfnews.com/nfdaily/html/202606/10/content_10172731.html</w:t>
        </w:r>
      </w:hyperlink>
      <w:r>
        <w:rPr>
          <w:rFonts w:ascii="仿宋_GB2312" w:cs="仿宋_GB2312" w:eastAsia="仿宋_GB2312" w:hAnsi="仿宋_GB2312"/>
          <w:sz w:val="32"/>
          <w:szCs w:val="32"/>
        </w:rPr>
        <w:t xml:space="preserve">）</w:t>
      </w:r>
    </w:p>
    <w:p>
      <w:pPr>
        <w:spacing w:line="360"/>
      </w:pPr>
    </w:p>
    <w:p>
      <w:pPr>
        <w:spacing w:line="360" w:lineRule="exact"/>
        <w:jc w:val="left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二、武汉吴家山老城核心地段建起"产业社区"</w:t>
      </w:r>
    </w:p>
    <w:p>
      <w:pPr>
        <w:spacing w:line="360" w:lineRule="exact"/>
        <w:ind w:firstLine="480"/>
        <w:jc w:val="left"/>
      </w:pPr>
      <w:r>
        <w:rPr>
          <w:rFonts w:ascii="仿宋_GB2312" w:cs="仿宋_GB2312" w:eastAsia="仿宋_GB2312" w:hAnsi="仿宋_GB2312"/>
          <w:b w:val="false"/>
          <w:bCs w:val="false"/>
          <w:sz w:val="32"/>
          <w:szCs w:val="32"/>
        </w:rPr>
        <w:t xml:space="preserve">武汉东西湖区将核心老城区低效工业用地整体转型，打造百万方科创园区，探索"产业社区"新模式，已吸引20家成长型企业入驻。一是盘活存量用地整体转型开发。2023年启动吴家山片区"再升级"，将物流园和小作坊交织的低效工业用地整体腾退，引入新想集团整片规划建设一百万方科创园区，区里成立工作专班实现当年签约、当年征收、当年拿地、当年开工，2025年首批楼宇交付使用。二是打造"产业社区"复合空间。首期建成16栋现代化楼宇共16万平方米产业空间，实现"楼下厂房、楼上研发"垂直整合，一楼全部留给健身房、书咖、报告厅、超级充电站等共享空间，园区中心独栋食堂配备屋顶花园，500多名员工在此办公。三是因企施策提供定制化服务。根据企业需求定制门窗体系，在企业厂房建设期间免费提供过渡办公空间，已吸引20家成长型企业签约落户，含上市公司2家、IPO企业1家、专精特新企业8家、国家高新技术企业10余家，12家企业正式入驻生产。四是以"五改四好""六带五创"推动城市更新与产业升级协同。以空间重构与产业升级同频共振为主线，带动周边道路、交通、商业等配套提档升级，为老城区低效工业用地再生提供可复制样本。</w:t>
      </w:r>
    </w:p>
    <w:p>
      <w:pPr>
        <w:spacing w:line="360" w:lineRule="exact"/>
      </w:pPr>
      <w:r>
        <w:rPr>
          <w:rFonts w:ascii="仿宋_GB2312" w:cs="仿宋_GB2312" w:eastAsia="仿宋_GB2312" w:hAnsi="仿宋_GB2312"/>
          <w:sz w:val="32"/>
          <w:szCs w:val="32"/>
        </w:rPr>
        <w:t xml:space="preserve">（信息来源：</w:t>
      </w:r>
      <w:hyperlink w:history="1" r:id="rIddrn4ah8ma1hgt-b47h1uf">
        <w:r>
          <w:rPr>
            <w:rStyle w:val="Hyperlink"/>
            <w:rFonts w:ascii="仿宋_GB2312" w:cs="仿宋_GB2312" w:eastAsia="仿宋_GB2312" w:hAnsi="仿宋_GB2312"/>
            <w:sz w:val="32"/>
            <w:szCs w:val="32"/>
          </w:rPr>
          <w:t xml:space="preserve">武汉晚报 6月10日 https://whwb.cjn.cn/html/2026-06/10/content_152969_3519846.htm</w:t>
        </w:r>
      </w:hyperlink>
      <w:r>
        <w:rPr>
          <w:rFonts w:ascii="仿宋_GB2312" w:cs="仿宋_GB2312" w:eastAsia="仿宋_GB2312" w:hAnsi="仿宋_GB2312"/>
          <w:sz w:val="32"/>
          <w:szCs w:val="32"/>
        </w:rPr>
        <w:t xml:space="preserve">）</w:t>
      </w:r>
    </w:p>
    <w:p>
      <w:pPr>
        <w:spacing w:line="360"/>
      </w:pPr>
    </w:p>
    <w:p>
      <w:pPr>
        <w:spacing w:line="360" w:lineRule="exact"/>
        <w:jc w:val="left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三、2570亿元城市更新资金账本亮相：中央财政构建可持续投融资体系</w:t>
      </w:r>
    </w:p>
    <w:p>
      <w:pPr>
        <w:spacing w:line="360" w:lineRule="exact"/>
        <w:ind w:firstLine="480"/>
        <w:jc w:val="left"/>
      </w:pPr>
      <w:r>
        <w:rPr>
          <w:rFonts w:ascii="仿宋_GB2312" w:cs="仿宋_GB2312" w:eastAsia="仿宋_GB2312" w:hAnsi="仿宋_GB2312"/>
          <w:b w:val="false"/>
          <w:bCs w:val="false"/>
          <w:sz w:val="32"/>
          <w:szCs w:val="32"/>
        </w:rPr>
        <w:t xml:space="preserve">多部委联合亮出城市更新"资金账本"，2026年中央财政安排2570亿元构建"财政兜底、金融赋能、机制创新"可持续投融资体系。一是中央预算内投资专项支持民生类工程。2026年安排970亿元重点支持城镇老旧小区改造、城市危旧房改造等项目建设，惠及居民约800万户，推动改善居住条件、完善公共服务设施。二是超长期特别国债加力地下管网改造。2026年安排1600亿元支持城市燃气、排水、供水、供热等管网建设改造，较上年增加250亿元。全国城市地下管网总长约390万公里，"十五五"期间计划改造约77万公里，其中燃气管网约20万公里、排水管网约17.5万公里。三是中央财政试点先行差异化支持。自2024年起连续3年累计支持北京、上海、成都等50个重点城市先行先试，对东、中、西部不同区域给予定额补助，引导地方"投资于物"与"投资于人"相结合。四是创新多元化投融资机制。统筹"硬投资"与"软建设"，支持各地因地制宜盘活存量资产，丰富金融产品和服务供给，鼓励民营企业参与城市基础设施建设运营，同步享受现行税收优惠政策，形成"财政+税收"政策合力，构建多元可持续的长效机制。</w:t>
      </w:r>
    </w:p>
    <w:p>
      <w:pPr>
        <w:spacing w:line="360" w:lineRule="exact"/>
      </w:pPr>
      <w:r>
        <w:rPr>
          <w:rFonts w:ascii="仿宋_GB2312" w:cs="仿宋_GB2312" w:eastAsia="仿宋_GB2312" w:hAnsi="仿宋_GB2312"/>
          <w:sz w:val="32"/>
          <w:szCs w:val="32"/>
        </w:rPr>
        <w:t xml:space="preserve">（信息来源：</w:t>
      </w:r>
      <w:hyperlink w:history="1" r:id="rId_k1ogfnvydu87pvs1osqb">
        <w:r>
          <w:rPr>
            <w:rStyle w:val="Hyperlink"/>
            <w:rFonts w:ascii="仿宋_GB2312" w:cs="仿宋_GB2312" w:eastAsia="仿宋_GB2312" w:hAnsi="仿宋_GB2312"/>
            <w:sz w:val="32"/>
            <w:szCs w:val="32"/>
          </w:rPr>
          <w:t xml:space="preserve">经济参考报 6月9日 https://www.news.cn/20260609/8cffd8e4c87046ec914a1109211ea207/c.html</w:t>
        </w:r>
      </w:hyperlink>
      <w:r>
        <w:rPr>
          <w:rFonts w:ascii="仿宋_GB2312" w:cs="仿宋_GB2312" w:eastAsia="仿宋_GB2312" w:hAnsi="仿宋_GB2312"/>
          <w:sz w:val="32"/>
          <w:szCs w:val="32"/>
        </w:rPr>
        <w:t xml:space="preserve">）</w:t>
      </w:r>
    </w:p>
    <w:p>
      <w:pPr>
        <w:spacing w:line="360"/>
      </w:pPr>
    </w:p>
    <w:p>
      <w:pPr>
        <w:spacing w:line="360" w:lineRule="exact"/>
        <w:jc w:val="left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四、广东全面实施"人工智能+"行动，核心产业规模突破3000亿元</w:t>
      </w:r>
    </w:p>
    <w:p>
      <w:pPr>
        <w:spacing w:line="360" w:lineRule="exact"/>
        <w:ind w:firstLine="480"/>
        <w:jc w:val="left"/>
      </w:pPr>
      <w:r>
        <w:rPr>
          <w:rFonts w:ascii="仿宋_GB2312" w:cs="仿宋_GB2312" w:eastAsia="仿宋_GB2312" w:hAnsi="仿宋_GB2312"/>
          <w:b w:val="false"/>
          <w:bCs w:val="false"/>
          <w:sz w:val="32"/>
          <w:szCs w:val="32"/>
        </w:rPr>
        <w:t xml:space="preserve">广东深入实施"人工智能+"行动，2025年底全省人工智能核心产业规模突破3000亿元，占全国约四分之一，人工智能相关企业达68.6万家。一是构建"省级统筹、部门协同、省市联动"推进格局。先后发布人工智能赋能科学研究、全域全时全行业高水平应用等行动方案，组建千亿元级战略性新兴产业投资引导基金，设立100亿元人工智能与机器人产业基金，系统推进产业布局。二是聚焦七大方向推进全域全时全行业应用。围绕"人工智能+"科学研究、农业农村、传统产业、新兴产业、服务业、治理能力、民生福祉等方向，从工业质检到智能设计再到数字孪生，推动人工智能赋能千行百业，走进千家万户，强化场景牵引。三是加快算力基础设施体系化建设。依托广州、深圳国家级超算中心，联动韶关数据中心集群、鹏城云脑、横琴先进智能计算平台等智算中心，全省综合算力指数、工业机器人产量、专精特新"小巨人"企业数量均居全国第一。四是构建全生命周期金融和人才生态。引导资本投早、投小、投长期、投硬科技，实施更加积极开放包容的人才政策，营造鼓励创新、宽容失败氛围，打造人工智能资本和人才首选地。</w:t>
      </w:r>
    </w:p>
    <w:p>
      <w:pPr>
        <w:spacing w:line="360" w:lineRule="exact"/>
      </w:pPr>
      <w:r>
        <w:rPr>
          <w:rFonts w:ascii="仿宋_GB2312" w:cs="仿宋_GB2312" w:eastAsia="仿宋_GB2312" w:hAnsi="仿宋_GB2312"/>
          <w:sz w:val="32"/>
          <w:szCs w:val="32"/>
        </w:rPr>
        <w:t xml:space="preserve">（信息来源：</w:t>
      </w:r>
      <w:hyperlink w:history="1" r:id="rIdosw-nuwymrioqry1-vqzs">
        <w:r>
          <w:rPr>
            <w:rStyle w:val="Hyperlink"/>
            <w:rFonts w:ascii="仿宋_GB2312" w:cs="仿宋_GB2312" w:eastAsia="仿宋_GB2312" w:hAnsi="仿宋_GB2312"/>
            <w:sz w:val="32"/>
            <w:szCs w:val="32"/>
          </w:rPr>
          <w:t xml:space="preserve">南方日报 6月9日 https://static.nfnews.com/content/202606/09/c12508117.html</w:t>
        </w:r>
      </w:hyperlink>
      <w:r>
        <w:rPr>
          <w:rFonts w:ascii="仿宋_GB2312" w:cs="仿宋_GB2312" w:eastAsia="仿宋_GB2312" w:hAnsi="仿宋_GB2312"/>
          <w:sz w:val="32"/>
          <w:szCs w:val="32"/>
        </w:rPr>
        <w:t xml:space="preserve">）</w:t>
      </w:r>
    </w:p>
    <w:p>
      <w:pPr>
        <w:spacing w:line="360"/>
      </w:pPr>
    </w:p>
    <w:p>
      <w:pPr>
        <w:spacing w:line="360" w:lineRule="exact"/>
        <w:jc w:val="left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五、"粤车南下"扩围覆盖大湾区内地九市，港珠澳大桥跨境通行再升级</w:t>
      </w:r>
    </w:p>
    <w:p>
      <w:pPr>
        <w:spacing w:line="360" w:lineRule="exact"/>
        <w:ind w:firstLine="480"/>
        <w:jc w:val="left"/>
      </w:pPr>
      <w:r>
        <w:rPr>
          <w:rFonts w:ascii="仿宋_GB2312" w:cs="仿宋_GB2312" w:eastAsia="仿宋_GB2312" w:hAnsi="仿宋_GB2312"/>
          <w:b w:val="false"/>
          <w:bCs w:val="false"/>
          <w:sz w:val="32"/>
          <w:szCs w:val="32"/>
        </w:rPr>
        <w:t xml:space="preserve">6月9日起，"粤车南下"政策扩容至粤港澳大湾区全部9个内地城市，获准私家车车主可驾车经港珠澳大桥进入香港，实现大湾区内地城市全覆盖。一是政策覆盖范围大幅扩展。在广州、珠海、江门、中山首批4市基础上，新增深圳、佛山、东莞、惠州、肇庆5个地市，广东9个内地城市获准的私家车均可经港珠澳大桥进入香港，粤港两地跨境通行便利化实现关键突破，大湾区"一小时生活圈"更趋完善。二是粤港两地政府协同推进部署。香港特区政府于6月8日公布扩展安排，与广东省政府密切协商制定车辆配额管理、保险互认、交通规则衔接等配套管理细则和实施方案，年中完成全面推广部署，推动"流动的大湾区"建设迈出实质性一步。三是推动"硬联通"与"软联通"协同深化。依托港珠澳大桥等跨境基础设施，深化粤港澳三地交通规则对接、车辆牌照互认和通关便利化改革，促进人员、车辆等要素在粤港澳三地之间高效便捷流动。四是激活大湾区文旅消费与经贸往来。跨境自驾便利化将直接带动沿线城市旅游、零售、酒店等消费增长，为粤港澳深化经贸合作和人文交流拓展新空间，助力打造世界级城市群。</w:t>
      </w:r>
    </w:p>
    <w:p>
      <w:pPr>
        <w:spacing w:line="360" w:lineRule="exact"/>
      </w:pPr>
      <w:r>
        <w:rPr>
          <w:rFonts w:ascii="仿宋_GB2312" w:cs="仿宋_GB2312" w:eastAsia="仿宋_GB2312" w:hAnsi="仿宋_GB2312"/>
          <w:sz w:val="32"/>
          <w:szCs w:val="32"/>
        </w:rPr>
        <w:t xml:space="preserve">（信息来源：</w:t>
      </w:r>
      <w:hyperlink w:history="1" r:id="rIdr-0toiqfdm0zwdgwpukqr">
        <w:r>
          <w:rPr>
            <w:rStyle w:val="Hyperlink"/>
            <w:rFonts w:ascii="仿宋_GB2312" w:cs="仿宋_GB2312" w:eastAsia="仿宋_GB2312" w:hAnsi="仿宋_GB2312"/>
            <w:sz w:val="32"/>
            <w:szCs w:val="32"/>
          </w:rPr>
          <w:t xml:space="preserve">经济日报/新华网 6月9日 https://finance.sina.com.cn/jjxw/2026-06-09/doc-iniauzkv1854021.shtml</w:t>
        </w:r>
      </w:hyperlink>
      <w:r>
        <w:rPr>
          <w:rFonts w:ascii="仿宋_GB2312" w:cs="仿宋_GB2312" w:eastAsia="仿宋_GB2312" w:hAnsi="仿宋_GB2312"/>
          <w:sz w:val="32"/>
          <w:szCs w:val="32"/>
        </w:rPr>
        <w:t xml:space="preserve">）</w:t>
      </w:r>
    </w:p>
    <w:p>
      <w:pPr>
        <w:spacing w:line="3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仿宋_GB2312" w:cs="仿宋_GB2312" w:eastAsia="仿宋_GB2312" w:hAnsi="仿宋_GB2312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vyhikvztnq-ajpprv3z-" Type="http://schemas.openxmlformats.org/officeDocument/2006/relationships/hyperlink" Target="https://epaper.nfnews.com/nfdaily/html/202606/10/content_10172731.html" TargetMode="External"/><Relationship Id="rIddrn4ah8ma1hgt-b47h1uf" Type="http://schemas.openxmlformats.org/officeDocument/2006/relationships/hyperlink" Target="https://whwb.cjn.cn/html/2026-06/10/content_152969_3519846.htm" TargetMode="External"/><Relationship Id="rId_k1ogfnvydu87pvs1osqb" Type="http://schemas.openxmlformats.org/officeDocument/2006/relationships/hyperlink" Target="https://www.news.cn/20260609/8cffd8e4c87046ec914a1109211ea207/c.html" TargetMode="External"/><Relationship Id="rIdosw-nuwymrioqry1-vqzs" Type="http://schemas.openxmlformats.org/officeDocument/2006/relationships/hyperlink" Target="https://static.nfnews.com/content/202606/09/c12508117.html" TargetMode="External"/><Relationship Id="rIdr-0toiqfdm0zwdgwpukqr" Type="http://schemas.openxmlformats.org/officeDocument/2006/relationships/hyperlink" Target="https://finance.sina.com.cn/jjxw/2026-06-09/doc-iniauzkv1854021.shtml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2026-06-10T00:45:39.503Z</dcterms:created>
  <dcterms:modified xsi:type="dcterms:W3CDTF">2026-06-10T00:45:39.504Z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