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黑体" w:eastAsia="黑体" w:hAnsi="黑体"/>
          <w:b/>
          <w:bCs/>
          <w:sz w:val="44"/>
          <w:szCs w:val="44"/>
        </w:rPr>
        <w:t xml:space="preserve">媒体信息摘报</w:t>
      </w:r>
    </w:p>
    <w:p>
      <w:pPr>
        <w:spacing w:after="200" w:before="0" w:line="560" w:lineRule="exact"/>
        <w:jc w:val="center"/>
      </w:pPr>
      <w:r>
        <w:rPr>
          <w:rFonts w:ascii="仿宋_GB2312" w:eastAsia="仿宋_GB2312" w:hAnsi="仿宋_GB2312"/>
          <w:sz w:val="32"/>
          <w:szCs w:val="32"/>
        </w:rPr>
        <w:t xml:space="preserve">（2026年8月4日）</w:t>
      </w:r>
    </w:p>
    <w:p>
      <w:pPr>
        <w:spacing w:after="120" w:before="260"/>
        <w:jc w:val="left"/>
      </w:pPr>
      <w:r>
        <w:rPr>
          <w:rFonts w:ascii="黑体" w:eastAsia="黑体" w:hAnsi="黑体"/>
          <w:b/>
          <w:bCs/>
          <w:sz w:val="32"/>
          <w:szCs w:val="32"/>
        </w:rPr>
        <w:t xml:space="preserve">一、科创“新锐”牵手制造“老将” 江阴临港经开区重构机器人产业链</w:t>
      </w:r>
    </w:p>
    <w:p>
      <w:pPr>
        <w:spacing w:after="120" w:before="60" w:line="560" w:lineRule="exact"/>
        <w:jc w:val="left"/>
      </w:pPr>
      <w:r>
        <w:rPr>
          <w:rFonts w:ascii="仿宋_GB2312" w:eastAsia="仿宋_GB2312" w:hAnsi="仿宋_GB2312"/>
          <w:sz w:val="32"/>
          <w:szCs w:val="32"/>
        </w:rPr>
        <w:t xml:space="preserve">江阴临港经济开发区以重构机器人产业链为主攻方向，推动外来科创“新锐”与本土制造“老将”双向奔赴，培育智能制造新生态。一是设立总规模5亿元的人工智能产业基金，为产业“再添一把火”。二是出台新版产业政策，针对性地对人工智能硬件、具身智能机器人的本地落地应用给予专项奖补，降低企业创新成本。三是临港科创园集聚8家智能制造企业，形成“微缩版”产业链：华业激光提供激光加工关键工艺，樵弋机器人主攻工业视觉透明与高反射表面缺陷检测，赫伽力智能研发纺织上纱及码垛机器人，富仁工业机器人为能源零售终端提供一站式智能化方案，长三角智能导航研究院孵化具身智能物流机器人；园区“一栋楼内对接上下游”，科创企业楷裕新智能的逆向建模点云系统已进入西门子、ABB供应链。四是支持制造“老将”攻坚核心部件。江苏德纳精工轴承从传统轴承转型高精度一体化关节模组，近3年把营收15%以上投入研发，产品良率稳定提升至98.7%，未来两年向着年产能10万台套目标推进。</w:t>
      </w:r>
    </w:p>
    <w:p>
      <w:pPr>
        <w:spacing w:after="120" w:before="60" w:line="560" w:lineRule="exact"/>
        <w:jc w:val="left"/>
      </w:pPr>
      <w:r>
        <w:rPr>
          <w:rFonts w:ascii="仿宋_GB2312" w:eastAsia="仿宋_GB2312" w:hAnsi="仿宋_GB2312"/>
          <w:sz w:val="32"/>
          <w:szCs w:val="32"/>
        </w:rPr>
        <w:t xml:space="preserve">（信息来源：新华日报2026年8月4日《科创“新锐”牵手制造“老将” 江阴临港经开区重构机器人产业链》  https://xh.xhby.net/pad/con/202608/04/content_1578180.html）</w:t>
      </w:r>
    </w:p>
    <w:p>
      <w:pPr>
        <w:spacing w:after="120" w:before="260"/>
        <w:jc w:val="left"/>
      </w:pPr>
      <w:r>
        <w:rPr>
          <w:rFonts w:ascii="黑体" w:eastAsia="黑体" w:hAnsi="黑体"/>
          <w:b/>
          <w:bCs/>
          <w:sz w:val="32"/>
          <w:szCs w:val="32"/>
        </w:rPr>
        <w:t xml:space="preserve">二、贾汪掘金“清凉”与“火热”</w:t>
      </w:r>
    </w:p>
    <w:p>
      <w:pPr>
        <w:spacing w:after="120" w:before="60" w:line="560" w:lineRule="exact"/>
        <w:jc w:val="left"/>
      </w:pPr>
      <w:r>
        <w:rPr>
          <w:rFonts w:ascii="仿宋_GB2312" w:eastAsia="仿宋_GB2312" w:hAnsi="仿宋_GB2312"/>
          <w:sz w:val="32"/>
          <w:szCs w:val="32"/>
        </w:rPr>
        <w:t xml:space="preserve">徐州市贾汪区立足资源枯竭城市转型，以水经济与雪产业“双轮驱动”，书写“一城青山半城湖”文旅新篇。一是做强“水经济”。督公山漂流全长5.1公里，分山林猛士漂、泛舟观景、悠闲娱乐三段，景区将淋浴位从近200个增至300个、增设打卡点；凤鸣海景区落地海盗湾、粉红沙滩、雨林瑶池等14个业态，补上“看景就走”短板。二是做大“雪产业”。大景山、督公山、茱萸山、凤鸣海四大雪场总面积逾20万平方米，串联“冰雪+非遗”“冰雪+温泉”“冰雪+农业采摘”等业态。三是培育“夜经济”新场景。夜爬大洞山日均达3000至5000人次，配套彩虹步道、停车场与生物多样性科普小径；墨上集·拾光影城每天实景演出近50场，新编红色实景剧《彭城烽火1940》。四是延展富民产业链。马庄村将旧厂房改香包文化大院、成立专业合作社，带动300余名妇女从事香包制作，每人每月增收3000至5000元；土盆村、磨石塘村发展农家乐与“炒鸡一条街”，推动农文旅融合家门口就业。</w:t>
      </w:r>
    </w:p>
    <w:p>
      <w:pPr>
        <w:spacing w:after="120" w:before="60" w:line="560" w:lineRule="exact"/>
        <w:jc w:val="left"/>
      </w:pPr>
      <w:r>
        <w:rPr>
          <w:rFonts w:ascii="仿宋_GB2312" w:eastAsia="仿宋_GB2312" w:hAnsi="仿宋_GB2312"/>
          <w:sz w:val="32"/>
          <w:szCs w:val="32"/>
        </w:rPr>
        <w:t xml:space="preserve">（信息来源：新华日报2026年8月4日《贾汪掘金“清凉”与“火热”》  https://xh.xhby.net/pad/con/202608/04/content_1578182.html）</w:t>
      </w:r>
    </w:p>
    <w:p>
      <w:pPr>
        <w:spacing w:after="120" w:before="260"/>
        <w:jc w:val="left"/>
      </w:pPr>
      <w:r>
        <w:rPr>
          <w:rFonts w:ascii="黑体" w:eastAsia="黑体" w:hAnsi="黑体"/>
          <w:b/>
          <w:bCs/>
          <w:sz w:val="32"/>
          <w:szCs w:val="32"/>
        </w:rPr>
        <w:t xml:space="preserve">三、精准施策助泛家居产业“一站式”出海</w:t>
      </w:r>
    </w:p>
    <w:p>
      <w:pPr>
        <w:spacing w:after="120" w:before="60" w:line="560" w:lineRule="exact"/>
        <w:jc w:val="left"/>
      </w:pPr>
      <w:r>
        <w:rPr>
          <w:rFonts w:ascii="仿宋_GB2312" w:eastAsia="仿宋_GB2312" w:hAnsi="仿宋_GB2312"/>
          <w:sz w:val="32"/>
          <w:szCs w:val="32"/>
        </w:rPr>
        <w:t xml:space="preserve">佛山海关立足辖区泛家居特色产业根基，聚焦“一站式”家居出口新业态，探索“产品贸易+服务贸易”协同出海监管模式，对接企业产品出口、安装施工、售后维护等环节通关诉求，推动泛家居产业从“产品出海”向“生态出海”跃升。一是创新珠宝“港仓内移”。指导企业在顺德运营出口配送型出口监管仓库，实施“港仓内移”改革，打造“前店中厂后仓”产业模式，将海外分拨功能落地顺德，破解龙头企业跨境配送链条长、仓储成本高的难题。二是护航烤鳗快速通关。针对烤鳗保质期短、跨境运输要求高的特点，优化检验检疫证书签发流程，实现“随到随办、快速放行”。三是推广摩托车“目的地查验”。将进口摩托车查验环节从口岸前移至企业自有仓库，由海关上门实施查验，节省口岸仓储等额外成本。四是适配体育文创出口特点。对世界杯文创、体育用品推行“提前申报、预约查验、随到随检”作业模式，压缩口岸通关时间。五是筑牢供港澳食品安全防线。高明构建“从农场到餐桌”全链条监管体系，将养殖场备案、疫情疫病防控、安全风险监测、出境前查检出证、应急处置纳入常态化管控。</w:t>
      </w:r>
    </w:p>
    <w:p>
      <w:pPr>
        <w:spacing w:after="120" w:before="60" w:line="560" w:lineRule="exact"/>
        <w:jc w:val="left"/>
      </w:pPr>
      <w:r>
        <w:rPr>
          <w:rFonts w:ascii="仿宋_GB2312" w:eastAsia="仿宋_GB2312" w:hAnsi="仿宋_GB2312"/>
          <w:sz w:val="32"/>
          <w:szCs w:val="32"/>
        </w:rPr>
        <w:t xml:space="preserve">（信息来源：南方日报2026年8月4日《精准施策助泛家居产业“一站式”出海》  https://static.nfnews.com/content/202608/04/c12689104.html）</w:t>
      </w:r>
    </w:p>
    <w:p>
      <w:pPr>
        <w:spacing w:after="120" w:before="260"/>
        <w:jc w:val="left"/>
      </w:pPr>
      <w:r>
        <w:rPr>
          <w:rFonts w:ascii="黑体" w:eastAsia="黑体" w:hAnsi="黑体"/>
          <w:b/>
          <w:bCs/>
          <w:sz w:val="32"/>
          <w:szCs w:val="32"/>
        </w:rPr>
        <w:t xml:space="preserve">四、中山“中易办” 企业“中意办”</w:t>
      </w:r>
    </w:p>
    <w:p>
      <w:pPr>
        <w:spacing w:after="120" w:before="60" w:line="560" w:lineRule="exact"/>
        <w:jc w:val="left"/>
      </w:pPr>
      <w:r>
        <w:rPr>
          <w:rFonts w:ascii="仿宋_GB2312" w:eastAsia="仿宋_GB2312" w:hAnsi="仿宋_GB2312"/>
          <w:sz w:val="32"/>
          <w:szCs w:val="32"/>
        </w:rPr>
        <w:t xml:space="preserve">中山市政务服务和数据管理局推出“中易办”企业服务体系，以覆盖企业发展全链条、闭环高效审批、专班跟进服务的主动型模式，让企业办事越办越“中意”。一是全市25个政务服务中心均设立“中易办”企业服务中心，小榄、坦洲还将服务延伸至工业园区、商圈，配备企业管家，构建市、镇街、园区、村社四级联动服务网络。二是建立全流程闭环机制。构建“需求收集—精准派单—上门代办—全程跟踪—限时办结—回访评价”闭环，企业管家采取常态化上门走访、专场宣讲、线上精准对接主动摸排需求，实现从“有呼必应”到“免呼先访”。三是组建“首席服务官”专班。翠亨新区组建专班，为项目提供代办帮办导办、绿色受理通道等专属服务。四是强化“专人跟到底”服务。针对中外合资、跨域迁移等复杂事项，企业管家一对一全程跟进，避免更换人员导致信息反复传递；全市工程建设项目导办代办团队累计助力195个项目实现“拿地即动工”、整体审批时限平均压缩75%以上。</w:t>
      </w:r>
    </w:p>
    <w:p>
      <w:pPr>
        <w:spacing w:after="120" w:before="60" w:line="560" w:lineRule="exact"/>
        <w:jc w:val="left"/>
      </w:pPr>
      <w:r>
        <w:rPr>
          <w:rFonts w:ascii="仿宋_GB2312" w:eastAsia="仿宋_GB2312" w:hAnsi="仿宋_GB2312"/>
          <w:sz w:val="32"/>
          <w:szCs w:val="32"/>
        </w:rPr>
        <w:t xml:space="preserve">（信息来源：南方日报2026年8月4日《中山“中易办” 企业“中意办”》  https://epaper.nfnews.com/nfdaily/html/202608/04/content_10177689.html）</w:t>
      </w:r>
    </w:p>
    <w:p>
      <w:pPr>
        <w:spacing w:after="120" w:before="260"/>
        <w:jc w:val="left"/>
      </w:pPr>
      <w:r>
        <w:rPr>
          <w:rFonts w:ascii="黑体" w:eastAsia="黑体" w:hAnsi="黑体"/>
          <w:b/>
          <w:bCs/>
          <w:sz w:val="32"/>
          <w:szCs w:val="32"/>
        </w:rPr>
        <w:t xml:space="preserve">五、人工智能专项技能培训启动</w:t>
      </w:r>
    </w:p>
    <w:p>
      <w:pPr>
        <w:spacing w:after="120" w:before="60" w:line="560" w:lineRule="exact"/>
        <w:jc w:val="left"/>
      </w:pPr>
      <w:r>
        <w:rPr>
          <w:rFonts w:ascii="仿宋_GB2312" w:eastAsia="仿宋_GB2312" w:hAnsi="仿宋_GB2312"/>
          <w:sz w:val="32"/>
          <w:szCs w:val="32"/>
        </w:rPr>
        <w:t xml:space="preserve">安徽省人力资源和社会保障厅启动人工智能专项技能培训，以“项目制”培养一批人工智能实用人才，支撑产业智能化转型。一是发放电子职业培训券。向2026年度高校毕业生发放电子职业培训券89280张，重点面向离校未就业高校毕业生等青年群体，涵盖其他就业重点群体。二是推行“项目制”培训。发动科技等人工智能行业部门、人工智能科研项目单位和重点企业，结合应用场景大力推行定岗、定向“项目制”培训；有国家职业标准的按标准组训，无国家职业标准的结合实际定制培训内容。三是创新机构遴选机制。鼓励采取“企业出题、政府指导、机构答题”方式，按照“条件公开、自愿申请”择优遴选委托真正具有实训能力和场景的企业、科研院所、院校和专业机构等承训。四是打造实训基地。支持合肥、芜湖等产业先导地区打造人工智能实训基地，支持跨区联合开展培训，集聚培养人工智能培训名师、名室、名校。五是加强培训监管。将人工智能专项技能培训纳入安徽职业培训信息管理系统专门模块进行经办管理，坚持“谁委托、谁监管、谁负责”。</w:t>
      </w:r>
    </w:p>
    <w:p>
      <w:pPr>
        <w:spacing w:after="120" w:before="60" w:line="560" w:lineRule="exact"/>
        <w:jc w:val="left"/>
      </w:pPr>
      <w:r>
        <w:rPr>
          <w:rFonts w:ascii="仿宋_GB2312" w:eastAsia="仿宋_GB2312" w:hAnsi="仿宋_GB2312"/>
          <w:sz w:val="32"/>
          <w:szCs w:val="32"/>
        </w:rPr>
        <w:t xml:space="preserve">（信息来源：安徽日报2026年8月4日《人工智能专项技能培训启动》  https://szb.ahnews.com.cn/ahrb/content/202608/04/c1148471.html）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2026-08-04T00:14:31.116Z</dcterms:created>
  <dcterms:modified xsi:type="dcterms:W3CDTF">2026-08-04T00:14:31.117Z</dcterms:modified>
</cp:coreProperties>
</file>

<file path=docProps/custom.xml><?xml version="1.0" encoding="utf-8"?>
<Properties xmlns="http://schemas.openxmlformats.org/officeDocument/2006/custom-properties" xmlns:vt="http://schemas.openxmlformats.org/officeDocument/2006/docPropsVTypes"/>
</file>