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2"/>
        </w:rPr>
        <w:t>媒体信息摘报</w:t>
      </w:r>
    </w:p>
    <w:p>
      <w:pPr>
        <w:jc w:val="center"/>
      </w:pPr>
      <w:r>
        <w:rPr>
          <w:rFonts w:ascii="FangSong_GB2312" w:hAnsi="FangSong_GB2312" w:eastAsia="FangSong_GB2312"/>
          <w:sz w:val="24"/>
        </w:rPr>
        <w:t>2026年9月22日（省级党报经济·科技·消费创新举措精选）</w:t>
      </w:r>
    </w:p>
    <w:p>
      <w:pPr>
        <w:spacing w:before="160" w:line="560" w:lineRule="exact"/>
      </w:pPr>
      <w:r>
        <w:rPr>
          <w:rFonts w:ascii="SimHei" w:hAnsi="SimHei" w:eastAsia="SimHei"/>
          <w:b/>
          <w:sz w:val="30"/>
        </w:rPr>
        <w:t>1、江苏印发行动方案促进词元经济高质量发展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《江苏省促进词元经济高质量发展行动方案（2026年）》由省发展改革委、省数据局印发，共提出26项措施，围绕八个方面系统部署。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一是推动数据资源高质量供给。建设2000个高质量数据集，发布建设清单与配套应用指引，加快建设新一代公共数据平台。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二是推进数字基础设施建设。加快数据基础设施建设，夯实算力基础设施底座，提升算力资源调度能力，推动"词元工厂"建设。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三是加强算法模型开发应用。全年新增备案大模型不少于50款、登记不少于35款、算法不少于200个，打造100个行业特色智能体、100个"模数共振"典型案例。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四是打造高价值词元消费场景。支持省内"专精特新"企业开展基于词元体系的智能化升级改造。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五是培育壮大经营主体。壮大智能原生企业、发展智能终端企业，鼓励有条件地区建设OPC（一人公司）社区、园区，配套提供AI工具培训、行业高质量数据集、词元调用平台接入等服务。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六是促进词元流通交易。探索建设词元计量体系、词元流通交易平台，探索开展词元出海服务。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七是加强词元经济治理。强化词元经济监管、提升数字安全保障能力、加强知识产权保护、完善词元经济统计监测。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八是强化政策供给与服务保障。省级人才项目重点支持50名左右人工智能高层次人才，支持技工院校新增数字技能相关专业50个、人工智能相关专业40个，支持各地发放词元券，支持企业、高校院所、研究机构以及OPC等购买智能算力服务。</w:t>
      </w:r>
    </w:p>
    <w:p>
      <w:pPr>
        <w:spacing w:line="560" w:lineRule="exact"/>
      </w:pPr>
      <w:r>
        <w:rPr>
          <w:rFonts w:ascii="FangSong_GB2312" w:hAnsi="FangSong_GB2312" w:eastAsia="FangSong_GB2312"/>
          <w:sz w:val="28"/>
        </w:rPr>
        <w:t>（信息来源：新华日报9月22日《江苏印发行动方案促进词元经济高质量发展》  https://xh.xhby.net/pad/con/202609/22/content_1591895.html）</w:t>
      </w:r>
    </w:p>
    <w:p>
      <w:pPr>
        <w:spacing w:before="160" w:line="560" w:lineRule="exact"/>
      </w:pPr>
      <w:r>
        <w:rPr>
          <w:rFonts w:ascii="SimHei" w:hAnsi="SimHei" w:eastAsia="SimHei"/>
          <w:b/>
          <w:sz w:val="30"/>
        </w:rPr>
        <w:t>2、江苏演艺市场再迎"新引擎"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《关于壮大演艺市场的若干政策措施》由江苏省文旅厅推动出台，内容覆盖区域布局、资源引聚、审批服务、空间扩容、主体培育、消费延伸、市场监管全链条。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一是优化区域布局。发挥南京、苏州双核增长极辐射作用，提升常州、无锡、徐州等城市演艺承接能力，扩大苏中、苏北地区大型演出市场规模，力争苏中、苏北八市演出票房收入年增长率不低于10%。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二是强化头部资源引聚。省市联动吸引演艺区域总部、分支机构、运营中心落地江苏，力争全省每年举办高品质大型演唱会、音乐节不少于300场次。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三是推行"一次审批、全省通用"。全面推行演出内容一次审批全省通用，严格落实快审快批、优化审批流程，降低跨市巡演成本。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四是构建音乐节产业带。挖掘在地文化资源，构建"沿海、临江、环湖"三大音乐节产业带，做强南京咪豆、常州太湖湾等本土音乐节IP，每年举办大型音乐节不少于40场次。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五是扩容演艺新空间。盘活老旧厂房、闲置写字楼、低效商业楼宇打造复合型演艺综合体，符合条件的可适用5年内不改变用地主体和规划条件的过渡期支持政策；重点培育演艺新空间100个，推动文艺院团打造50个适配文旅场景的特色小剧场演艺项目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六是壮大规模主体。支持演艺企业通过股权融资、挂牌上市、跨区域战略合作等方式做大做强，利用3至5年时间培育5至10家在全国有影响力的演艺企业。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七是延伸消费链条。联动景区景点、文博场馆等推出"票根+"文旅套餐产品，联合票务平台、OTA平台开设演艺票根专页，推动演艺IP与非遗国潮、老字号跨界融合，力争3至5年实现全省演艺周边产业年营收不低于50亿元。</w:t>
      </w:r>
    </w:p>
    <w:p>
      <w:pPr>
        <w:spacing w:line="560" w:lineRule="exact"/>
      </w:pPr>
      <w:r>
        <w:rPr>
          <w:rFonts w:ascii="FangSong_GB2312" w:hAnsi="FangSong_GB2312" w:eastAsia="FangSong_GB2312"/>
          <w:sz w:val="28"/>
        </w:rPr>
        <w:t>（信息来源：江南时报9月22日《江苏演艺市场再迎"新引擎"》  https://jnsb.xhby.net/pc/con/202609/22/content_1592094.html）</w:t>
      </w:r>
    </w:p>
    <w:p>
      <w:pPr>
        <w:spacing w:before="160" w:line="560" w:lineRule="exact"/>
      </w:pPr>
      <w:r>
        <w:rPr>
          <w:rFonts w:ascii="SimHei" w:hAnsi="SimHei" w:eastAsia="SimHei"/>
          <w:b/>
          <w:sz w:val="30"/>
        </w:rPr>
        <w:t>3、诸暨"以投代补"浇灌科创好苗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诸暨市深化人才科创体制改革，推出"以投代补"突破性举措，将政府扶持从直接补贴转为股权投资，优化科创营商环境。以往地方扶持偏重人才头衔与学历认定，资金拨付与项目产业化成效关联不紧，且需阶段性验收、周期长、流程烦琐，难以匹配初创企业快速迭代的资金需求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一是设立专项基金精准投资。去年3月以来设立5亿元人才科创专项基金，重点聚焦A轮及之前的初创型人才科创项目，对优质项目给予最高2000万元股权投资支持。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二是建立月度评审路演机制。实行"每月一评"人才科创路演，企业从洽谈到落地最快一个多月即可完成评审、尽职调查、协议签署与场地选定全流程。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三是构建产业配套闭环。以资本注入、产业配套、市场验证形成闭环，政府从"给钱的人"变为"同船的人"，与企业风险共担、利益共享，使引进支持体系具备自我造血与持续迭代能力。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四是依托完整产业链基底。当地已集聚70余家航空航天领域关联企业，覆盖卫星测控与研发制造、空天信息、芯片研发、智能传感器、光电器件、电子配套等细分领域，形成上下游衔接、产学研联动的完整链条。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五是强化案例牵引落地。浙江超领智能的航空航天材料3D打印设备企业今年5月投产、订单排至年末；云科智控专注智能化微小型光电系统研发，去年6月在路演中亮相，6月底完成评审与尽职调查，7月签署协议并选定场地，获得900万元基金投资，从洽谈到落地仅用时一个多月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六是扩大项目征集规模与动能。改革后累计征集评审人才科创项目306个，较改革前增长超300%；一年多来累计投资18个优质人才科创项目、总出资1.4亿元，为产业发展注入科创动能。</w:t>
      </w:r>
    </w:p>
    <w:p>
      <w:pPr>
        <w:spacing w:line="560" w:lineRule="exact"/>
      </w:pPr>
      <w:r>
        <w:rPr>
          <w:rFonts w:ascii="FangSong_GB2312" w:hAnsi="FangSong_GB2312" w:eastAsia="FangSong_GB2312"/>
          <w:sz w:val="28"/>
        </w:rPr>
        <w:t>（信息来源：浙江日报9月22日《诸暨"以投代补"浇灌科创好苗》  https://zjrb.zjol.com.cn/html/2026-09/22/content_3933194.htm）</w:t>
      </w:r>
    </w:p>
    <w:p>
      <w:pPr>
        <w:spacing w:before="160" w:line="560" w:lineRule="exact"/>
      </w:pPr>
      <w:r>
        <w:rPr>
          <w:rFonts w:ascii="SimHei" w:hAnsi="SimHei" w:eastAsia="SimHei"/>
          <w:b/>
          <w:sz w:val="30"/>
        </w:rPr>
        <w:t>4、从一片超薄支架，看广东把产线变成"试验场"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广东组织核心软件攻关，把真实产线变成国产工业软件的"试验场"，让软件在真实场景中迭代升级，从单点替代走向生态成形。此前高端CAE市场九成份额在海外企业手中，进口高端模块年费用几十万元到上百万元，且逐年另付升级费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一是坚持应用牵引、产业出题、联合攻关。省科技厅牵头组织核心软件攻关，企业把难点和缺失功能列出清单（一次可列50条、70条），软件企业挑20条重点攻关，再试用、再迭代，并以三十年积累的真实制造数据反哺软件成长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二是推广"电脑试模"替代真实开模。企业开模前先用国产软件做模流仿真，提示气孔、开裂等风险后再开模。以宜安科技为例，其屏幕支架薄至0.6毫米，用国产软件跑通研发全流程后模具一次成功率显著提高；创维电视用仿真在虚拟世界把一台电视"摔上千次"形成抗摔方案，OPPO用国产工具验证100瓦快充散热设计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三是国产软件接管工艺流程。从制造运营、研发管理到售后服务，国产软件逐个数补上国外软件曾占据的"生态位"，如搭建覆盖生产质量设备的数智化底座、3D轻量化引擎（数模从550MB压缩到8MB、手机5秒加载）、产线数据充分打通等；目前宜安科技80%以上业务环节可用国产软件覆盖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四是强化政策与生态支撑。广东印发《人工智能赋能制造业高质量发展行动方案（2025—2027年）》，明确推进核心软件攻关等工程；依托门类多、规模大的制造场景与每年上千万高校毕业生的"工程师红利"，为国产软件迭代提供广阔空间。</w:t>
      </w:r>
    </w:p>
    <w:p>
      <w:pPr>
        <w:spacing w:line="560" w:lineRule="exact"/>
      </w:pPr>
      <w:r>
        <w:rPr>
          <w:rFonts w:ascii="FangSong_GB2312" w:hAnsi="FangSong_GB2312" w:eastAsia="FangSong_GB2312"/>
          <w:sz w:val="28"/>
        </w:rPr>
        <w:t>（信息来源：南方日报9月22日《从一片超薄支架，看广东把产线变成"试验场"》  https://epaper.nfnews.com/nfdaily/html/202609/22/content_10182064.html）</w:t>
      </w:r>
    </w:p>
    <w:p>
      <w:pPr>
        <w:spacing w:before="160" w:line="560" w:lineRule="exact"/>
      </w:pPr>
      <w:r>
        <w:rPr>
          <w:rFonts w:ascii="SimHei" w:hAnsi="SimHei" w:eastAsia="SimHei"/>
          <w:b/>
          <w:sz w:val="30"/>
        </w:rPr>
        <w:t>5、28条政策撬动金融资源过万亿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《山东省政府办公厅关于财政金融协同促内需的若干措施》围绕投资消费、产业发展、普惠金融三大方向，提出28条具体措施，初步测算直接惠及各类金融资源6000亿元、总体可撬动过万亿。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一是降低融资成本。从个人消费和企业融资两端发力，优化实施个人消费贷款贴息政策，对居民个人用于消费的贷款给予1个百分点贴息，一个人在1家银行1年可获得最高5000元财政贴息；深入实施设备更新贷款贴息、技改专项贷款贴息、中小微企业贷款贴息，对符合条件的贷款给予一定比例贴息支持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二是增加要素投入。发挥投资基金作用，引导带动社会资本以市场化方式参与数字、绿色等新型消费领域，通过"长期资本""耐心资本"投入，支持长周期消费产业发展。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三是优化金融环境。深化19条标志性产业链"金融链主"机制，安排再贷款、再贴现专用额度，推进"金融直达基层加速跑"，开展"民企金融直连解难题"等行动，促进消费和投资、供给和需求良性互动。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四是支持现代化产业体系。以财政资金"四两拨千斤"引导金融资源向重点产业聚焦用力，对企业贷款购置设备等给予贴息（如某企业贷款1.5亿元购置设备、1.5个百分点贴息可获225万元）。</w:t>
      </w:r>
    </w:p>
    <w:p>
      <w:pPr>
        <w:spacing w:line="560" w:lineRule="exact"/>
        <w:ind w:firstLine="560"/>
      </w:pPr>
      <w:r>
        <w:rPr>
          <w:rFonts w:ascii="FangSong_GB2312" w:hAnsi="FangSong_GB2312" w:eastAsia="FangSong_GB2312"/>
          <w:sz w:val="28"/>
        </w:rPr>
        <w:t>五是提升金融服务质效。每年遴选推荐3个普惠金融发展示范区，省财政统筹中央资金给予奖补支持；深化"好品金融"品牌培育，形成一批可复制、可推广的成熟实践模式；创新实施融资信用服务平台补助政策，引导平台丰富融资产品。</w:t>
      </w:r>
    </w:p>
    <w:p>
      <w:pPr>
        <w:spacing w:line="560" w:lineRule="exact"/>
      </w:pPr>
      <w:r>
        <w:rPr>
          <w:rFonts w:ascii="FangSong_GB2312" w:hAnsi="FangSong_GB2312" w:eastAsia="FangSong_GB2312"/>
          <w:sz w:val="28"/>
        </w:rPr>
        <w:t>（信息来源：大众日报9月22日《28条政策撬动金融资源过万亿》  https://finance.sina.com.cn/jjxw/2026-09-22/doc-inisrsvr8993023.shtml）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FangSong_GB2312" w:hAnsi="FangSong_GB2312" w:eastAsia="FangSong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