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exact" w:line="560"/>
        <w:jc w:val="center"/>
      </w:pPr>
      <w:r>
        <w:rPr>
          <w:rFonts w:ascii="黑体" w:hAnsi="黑体" w:eastAsia="黑体"/>
          <w:b/>
          <w:sz w:val="32"/>
        </w:rPr>
        <w:t>媒体信息摘报</w:t>
      </w:r>
    </w:p>
    <w:p>
      <w:pPr>
        <w:spacing w:lineRule="exact" w:line="560"/>
        <w:jc w:val="center"/>
      </w:pPr>
      <w:r>
        <w:rPr>
          <w:rFonts w:ascii="仿宋_GB2312" w:hAnsi="仿宋_GB2312" w:eastAsia="仿宋_GB2312"/>
          <w:sz w:val="32"/>
        </w:rPr>
        <w:t>（2026年8月17日 · 省级党报经济·科技·消费创新举措精选）</w:t>
      </w:r>
    </w:p>
    <w:p>
      <w:pPr>
        <w:spacing w:lineRule="exact" w:line="560" w:before="160"/>
      </w:pPr>
      <w:r>
        <w:rPr>
          <w:rFonts w:ascii="黑体" w:hAnsi="黑体" w:eastAsia="黑体"/>
          <w:b/>
          <w:sz w:val="32"/>
        </w:rPr>
        <w:t>路桥区为中小企业搭建公共AI底座</w:t>
      </w:r>
    </w:p>
    <w:p>
      <w:pPr>
        <w:spacing w:lineRule="exact" w:line="560"/>
      </w:pPr>
      <w:r>
        <w:rPr>
          <w:rFonts w:ascii="仿宋_GB2312" w:hAnsi="仿宋_GB2312" w:eastAsia="仿宋_GB2312"/>
          <w:sz w:val="32"/>
        </w:rPr>
        <w:t>台州路桥区针对电机等行业中小企业普遍“缺算力、缺模型、缺懂行服务商”的共性痛点，由区经信局牵头于2023年10月成立国有数产公司充当数字化“总包商”，推动政府职能从“直接给补贴”系统性升级为“搭平台、建机制、控风险”，把AI从企业落地艰难的“奢侈品”变成中小企业触手可及的“日用品”。具体做法如下：</w:t>
        <w:br/>
        <w:t>一是政府主导建公共底座。2025年数产公司联合省电信上线“擎云智驱”公共AI底座，把主流大模型搬进区里，企业买一个智能体只需两三万元、一年算力服务费一两万元，算力成本比自建降低95%，中小企业共享资源不必重复投资。</w:t>
        <w:br/>
        <w:t>二是总包机制降门槛。数产公司先替企业摸清需求，再从100多家公开遴选的服务商中精准匹配，签约后每周盯进度、以项目交付为终点，企业用低成本即可探路AI转型。</w:t>
        <w:br/>
        <w:t>三是场景复制扩面。平台已汇聚400多万条电机行业数据，30多家企业签约使用，形成智能下单、智能培训、智能问数、智能跟单等30多个成熟应用；AI系统复制性强，金龙电机的异音识别模型同样适用于其他电机企业，一个场景跑通同行可共享，打法正复制到汽车零配件、卫浴、日用品等产业。</w:t>
        <w:br/>
        <w:t>四是自我造血可持续。数产公司已承接180多个、总金额4200多万元的数字化总包项目，实现自我造血，既减轻财政压力，又倒逼“总包商”提升服务效能。</w:t>
      </w:r>
    </w:p>
    <w:p>
      <w:pPr>
        <w:spacing w:lineRule="exact" w:line="560" w:after="200"/>
      </w:pPr>
      <w:r>
        <w:rPr>
          <w:rFonts w:ascii="仿宋_GB2312" w:hAnsi="仿宋_GB2312" w:eastAsia="仿宋_GB2312"/>
          <w:sz w:val="32"/>
        </w:rPr>
        <w:t>（信息来源：浙江日报8月17日《路桥区为中小企业搭建公共AI底座》  https://zjrb.zjol.com.cn/html/2026-08/17/content_3924765.htm）</w:t>
      </w:r>
    </w:p>
    <w:p>
      <w:pPr>
        <w:spacing w:lineRule="exact" w:line="560" w:before="160"/>
      </w:pPr>
      <w:r>
        <w:rPr>
          <w:rFonts w:ascii="黑体" w:hAnsi="黑体" w:eastAsia="黑体"/>
          <w:b/>
          <w:sz w:val="32"/>
        </w:rPr>
        <w:t>深圳真金白银促首发经济，要打造50个热销单品</w:t>
      </w:r>
    </w:p>
    <w:p>
      <w:pPr>
        <w:spacing w:lineRule="exact" w:line="560"/>
      </w:pPr>
      <w:r>
        <w:rPr>
          <w:rFonts w:ascii="仿宋_GB2312" w:hAnsi="仿宋_GB2312" w:eastAsia="仿宋_GB2312"/>
          <w:sz w:val="32"/>
        </w:rPr>
        <w:t>深圳市商务局印发《深圳市关于加快推动首发经济促进消费的若干措施》，自2026年8月30日起施行、有效期3年，围绕塑品牌强IP、强引育优供给、优服务建生态拿出“真金白银”支持。具体做法如下：</w:t>
        <w:br/>
        <w:t>一是补贴首发活动。对在深举办的具有国际影响力和市场引领性的汽车、3C数码、AI硬件品牌及国产开源系统智能终端产品等首发活动，场地租赁、展场搭建、宣传推广等按实际投入的30%给予补贴，最高100万元。</w:t>
        <w:br/>
        <w:t>二是打造热销单品与集聚区。重点打造世界级商圈、街区等首发经济集聚区，吸引国内外品牌设首发中心，打造50款用户口碑良好、核心卖点突出、全球市场份额占比较高的现象级“热销单品”；鼓励在高交会、文博会、深圳时装周等重大活动期间举办首展首秀，鼓励品牌跨界融合。</w:t>
        <w:br/>
        <w:t>三是奖励首店双向受益。支持新开设国际级、全国性及市级首店，符合条件的项目一次性奖励最高不超过300万元；对成功导入引领性首店及展销中心、生态体验中心的商业综合体（街区）运营管理机构，同一机构年度最高奖励200万元。</w:t>
        <w:br/>
        <w:t>四是优化服务建生态。优化首发活动报批报备管理，鼓励各区建立首发经济服务绿色通道，发布深圳首发品牌“必购必带”城市礼物榜单和首店打卡地图，策划首发经济主题活动。</w:t>
      </w:r>
    </w:p>
    <w:p>
      <w:pPr>
        <w:spacing w:lineRule="exact" w:line="560" w:after="200"/>
      </w:pPr>
      <w:r>
        <w:rPr>
          <w:rFonts w:ascii="仿宋_GB2312" w:hAnsi="仿宋_GB2312" w:eastAsia="仿宋_GB2312"/>
          <w:sz w:val="32"/>
        </w:rPr>
        <w:t>（信息来源：南方日报8月17日《深圳真金白银促首发经济，要打造50个热销单品》  https://www.nfnews.com/content/A6EBJpVYoK.html）</w:t>
      </w:r>
    </w:p>
    <w:p>
      <w:pPr>
        <w:spacing w:lineRule="exact" w:line="560" w:before="160"/>
      </w:pPr>
      <w:r>
        <w:rPr>
          <w:rFonts w:ascii="黑体" w:hAnsi="黑体" w:eastAsia="黑体"/>
          <w:b/>
          <w:sz w:val="32"/>
        </w:rPr>
        <w:t>合肥再添“国字号”招牌 获批建设国家人工智能产业创新应用先导区</w:t>
      </w:r>
    </w:p>
    <w:p>
      <w:pPr>
        <w:spacing w:lineRule="exact" w:line="560"/>
      </w:pPr>
      <w:r>
        <w:rPr>
          <w:rFonts w:ascii="仿宋_GB2312" w:hAnsi="仿宋_GB2312" w:eastAsia="仿宋_GB2312"/>
          <w:sz w:val="32"/>
        </w:rPr>
        <w:t>合肥市获批建设国家人工智能产业创新应用先导区，立足“谋改革、强创新、促应用、导经验”定位，围绕算力筑基、聚链成群、深耕场景等方面系统布局。具体做法如下：</w:t>
        <w:br/>
        <w:t>一是超前布局算力基础设施。累计建设5G基站3.4万个、5G-A站点超3700个，入选全国首批5G应用“扬帆”行动重点城市和首批5G-A网络商用城市；建成全国首个万卡国产算力集群、首个量超融合计算中心，纳管算力超2.58万P、年底有望突破4万P；构建城市级“算力池”，对接全国21家算力服务商，与中国超算互联网等国家级基础资源互联互通。</w:t>
        <w:br/>
        <w:t>二是聚链成群壮大产业。全市集聚人工智能相关企业1500家，产业链营收突破千亿元，形成覆盖硬件、算法、终端和应用的全产业链条，在智能语音、集成电路、量子科技等领域保持国内领先优势。</w:t>
        <w:br/>
        <w:t>三是组建城市级场景公司。成立全国首个城市级场景公司，累计发布人工智能应用场景超160项，把真实需求摆出来让企业带技术“解题”，以场景牵引成果落地。</w:t>
        <w:br/>
        <w:t>四是AI赋能制造业与政务。聚焦新能源汽车等主导产业，推动工业AI算法驱动超八成整车制造场景，智能机器人全面覆盖冲压、焊装、涂装、总装四大工艺；政务治理领域，“人工智能+招投标监管”场景项目已在全省16个市全面应用。</w:t>
        <w:br/>
        <w:t>五是明确主攻方向。下一步聚焦“AI+新型工业化”“智能体互联网”等重点领域攻关关键技术，打造人工智能创新高地和产业策源地。</w:t>
      </w:r>
    </w:p>
    <w:p>
      <w:pPr>
        <w:spacing w:lineRule="exact" w:line="560" w:after="200"/>
      </w:pPr>
      <w:r>
        <w:rPr>
          <w:rFonts w:ascii="仿宋_GB2312" w:hAnsi="仿宋_GB2312" w:eastAsia="仿宋_GB2312"/>
          <w:sz w:val="32"/>
        </w:rPr>
        <w:t>（信息来源：安徽日报8月17日《合肥再添“国字号”招牌 获批建设国家人工智能产业创新应用先导区》  https://ah.anhuinews.com/gdxw/202608/t20260817_9504166.html）</w:t>
      </w:r>
    </w:p>
    <w:p>
      <w:pPr>
        <w:spacing w:lineRule="exact" w:line="560" w:before="160"/>
      </w:pPr>
      <w:r>
        <w:rPr>
          <w:rFonts w:ascii="黑体" w:hAnsi="黑体" w:eastAsia="黑体"/>
          <w:b/>
          <w:sz w:val="32"/>
        </w:rPr>
        <w:t>奋力打造国家重要先进制造业高地 机器人竞速，湖南在车间里书写答案</w:t>
      </w:r>
    </w:p>
    <w:p>
      <w:pPr>
        <w:spacing w:lineRule="exact" w:line="560"/>
      </w:pPr>
      <w:r>
        <w:rPr>
          <w:rFonts w:ascii="仿宋_GB2312" w:hAnsi="仿宋_GB2312" w:eastAsia="仿宋_GB2312"/>
          <w:sz w:val="32"/>
        </w:rPr>
        <w:t>湖南把制造业车间当作机器人最硬核“试验场”，不追实验室样机、而是让机器人在真实产线“学习”，以“场景倒逼技术”推动具身智能落地，依托5个国家重要先进制造业集群、22个中小企业特色产业集群提供丰富场景土壤。具体政策做法如下：</w:t>
        <w:br/>
        <w:t>一是发布行动方案建拉动体系。2025年10月湖南印发“人工智能+”行动实施方案，推出“五个十大”，其中“十大示范场景”立足当下、“十大未来场景”布局明天，构建“近期有回报、远期有期待”的拉动体系。</w:t>
        <w:br/>
        <w:t>二是建立三张场景清单。今年5月省政府出台《湖南省加快场景创新和大规模应用三年行动方案（2026—2028年）》，明确到2028年为不少于1000家企业开展场景对接，建立场景能力、场景机会、场景示范“三张清单”，探索“先试用后付费”机制，降低企业试用新技术风险。</w:t>
        <w:br/>
        <w:t>三是开展实景实训专项行动。6月湖南启动人形机器人与具身智能实景实训专项行动，面向工业、服务、特种三大领域遴选真实场景单元，组建创新应用联合体攻关实用化作业技能，让机器人先在真实产线积累工况数据再走向市场。</w:t>
        <w:br/>
        <w:t>四是政府搭台企业攻关。支持楚天科技自主研发全自动智能灯检机识别低至40微米异物、发布搭载“SmartCare工业AI平台”的一片式全纸包装生产线；支持视比特在钢板分拣等真实痛点中攻克智能分拣产线并已在省内外重工龙头企业落地，政府以场景开放和清单对接为机器人迭代提供土壤。</w:t>
      </w:r>
    </w:p>
    <w:p>
      <w:pPr>
        <w:spacing w:lineRule="exact" w:line="560" w:after="200"/>
      </w:pPr>
      <w:r>
        <w:rPr>
          <w:rFonts w:ascii="仿宋_GB2312" w:hAnsi="仿宋_GB2312" w:eastAsia="仿宋_GB2312"/>
          <w:sz w:val="32"/>
        </w:rPr>
        <w:t>（信息来源：湖南日报8月17日《奋力打造国家重要先进制造业高地 机器人竞速，湖南在车间里书写答案》  https://hunan.voc.com.cn/news/202608/33497070.html）</w:t>
      </w:r>
    </w:p>
    <w:p>
      <w:pPr>
        <w:spacing w:lineRule="exact" w:line="560" w:before="160"/>
      </w:pPr>
      <w:r>
        <w:rPr>
          <w:rFonts w:ascii="黑体" w:hAnsi="黑体" w:eastAsia="黑体"/>
          <w:b/>
          <w:sz w:val="32"/>
        </w:rPr>
        <w:t>内外协同 锻造激光产业新势能</w:t>
      </w:r>
    </w:p>
    <w:p>
      <w:pPr>
        <w:spacing w:lineRule="exact" w:line="560"/>
      </w:pPr>
      <w:r>
        <w:rPr>
          <w:rFonts w:ascii="仿宋_GB2312" w:hAnsi="仿宋_GB2312" w:eastAsia="仿宋_GB2312"/>
          <w:sz w:val="32"/>
        </w:rPr>
        <w:t>天津滨海新区凭借成熟制造载体、完善产业配套和对外开放优势，已成为全国激光产业成果转化、龙头集聚、上下游协同发展的重要承载地，并为激光高端制造企业量身打造全链条要素保障，以优质营商环境筑牢产业发展底盘。具体做法如下：</w:t>
        <w:br/>
        <w:t>一是空间要素保障。保税区提供连片标准化无尘厂房，满足芯片封装、光学测试等严苛生产需求，企业拎包入驻、降低前期基建投入，避免自建厂房的长周期与高投入，把资源集中投向研发与量产。</w:t>
        <w:br/>
        <w:t>二是政务与通关便利。落实高新企业扶持政策，助力企业持续加码研发；依托天津港国际物流优势，激光器产品快速通达全球海外子公司，进出口通关便利化大幅提升海外市场竞争力；区域还统筹危废环保处理、冷链水冷等配套。</w:t>
        <w:br/>
        <w:t>三是人才引育保障。联动本地院校共建实训基地定向输送技工，配套人才落户、住房补贴政策，破解高端光电人才引育难题，形成“引得进、留得住”的生态。</w:t>
        <w:br/>
        <w:t>四是产业链就近协同。完善光电配套、精密加工体系，联动联想零碳智造工厂共建全流程自动化产线，实现上料、封装、检测、仓储全环节自动化，形成“本地龙头互配、产业链就近协同”格局，大幅降低供应链成本、缩短新品交付周期，对外来产业资本形成强大吸引力，让“天津造”自主激光更具竞争力。</w:t>
      </w:r>
    </w:p>
    <w:p>
      <w:pPr>
        <w:spacing w:lineRule="exact" w:line="560" w:after="200"/>
      </w:pPr>
      <w:r>
        <w:rPr>
          <w:rFonts w:ascii="仿宋_GB2312" w:hAnsi="仿宋_GB2312" w:eastAsia="仿宋_GB2312"/>
          <w:sz w:val="32"/>
        </w:rPr>
        <w:t>（信息来源：天津日报8月17日《内外协同 锻造激光产业新势能》  https://epaper.tianjinwe.com/tjrb/html/2026-08/17/content_143092_3745675.htm）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