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媒体信息摘报</w:t>
      </w:r>
    </w:p>
    <w:p>
      <w:pPr>
        <w:spacing w:after="200"/>
        <w:jc w:val="center"/>
      </w:pPr>
      <w:r>
        <w:rPr>
          <w:rFonts w:ascii="黑体" w:cs="黑体" w:eastAsia="黑体" w:hAnsi="黑体"/>
          <w:sz w:val="32"/>
          <w:szCs w:val="32"/>
        </w:rPr>
        <w:t xml:space="preserve">2026年6月12日</w:t>
      </w:r>
    </w:p>
    <w:p>
      <w:pPr>
        <w:spacing w:after="560"/>
        <w:jc w:val="center"/>
      </w:pPr>
      <w:r>
        <w:rPr>
          <w:rFonts w:ascii="仿宋_GB2312" w:cs="仿宋_GB2312" w:eastAsia="仿宋_GB2312" w:hAnsi="仿宋_GB2312"/>
          <w:color w:val="888888"/>
          <w:sz w:val="28"/>
          <w:szCs w:val="28"/>
        </w:rPr>
        <w:t xml:space="preserve">（省级党报创新举措精选，福建省除外）</w:t>
      </w:r>
    </w:p>
    <w:p>
      <w:pPr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1. </w:t>
      </w:r>
      <w:r>
        <w:rPr>
          <w:rFonts w:ascii="黑体" w:cs="黑体" w:eastAsia="黑体" w:hAnsi="黑体"/>
          <w:b/>
          <w:bCs/>
          <w:sz w:val="28"/>
          <w:szCs w:val="28"/>
        </w:rPr>
        <w:t xml:space="preserve">苏州姑苏区以"AI+"集聚区建设探索科创企业成长新范式</w:t>
      </w:r>
    </w:p>
    <w:p>
      <w:pPr>
        <w:spacing w:after="80" w:line="560"/>
      </w:pPr>
      <w:r>
        <w:rPr>
          <w:rFonts w:ascii="仿宋_GB2312" w:cs="仿宋_GB2312" w:eastAsia="仿宋_GB2312" w:hAnsi="仿宋_GB2312"/>
          <w:sz w:val="28"/>
          <w:szCs w:val="28"/>
        </w:rPr>
        <w:t xml:space="preserve">苏州市姑苏区金阊新城正以"人工智能+"集聚区建设为抓手，探索产业载体升级和政策服务创新赋能科创企业成长的新路径。一是打造产业载体矩阵，以姑苏云谷、联东U谷、元创智谷为核心，三大载体建成后总建筑面积近百万平方米，重点集聚检验检测、半导体、机器人、智能装备、信创五大细分领域，已集聚低空经济、数字医疗、智能网联等领域企业约500家，培育省级潜在独角兽企业1家。二是创新营商服务机制，街道成立企业服务专班打造"湾事无忧"品牌，每周三下午多职能部门惠企专员轮流坐班解答政策，设立OPC社区提供AI场景适配、人才引育等定制化服务。三是引入创新金融工具，6月5日在姑苏云谷举行"OPC+认股权"全国首批登记发布仪式，3家企业获得认股权登记证书，引导资本投向初创期和成长期科创主体。四是培育细分领域标杆企业，海砥装备专注300kg级重载吊装无人机，解决海上移动平台起降难题；今朝生物推出国内首款OK镜AB液，申请专利40余项；诺昕物联开发200克警用肩灯，500米内可探测未报备无人机。</w:t>
      </w:r>
    </w:p>
    <w:p>
      <w:pPr>
        <w:spacing w:after="200"/>
      </w:pPr>
      <w:r>
        <w:rPr>
          <w:rFonts w:ascii="仿宋_GB2312" w:cs="仿宋_GB2312" w:eastAsia="仿宋_GB2312" w:hAnsi="仿宋_GB2312"/>
          <w:color w:val="666666"/>
          <w:sz w:val="24"/>
          <w:szCs w:val="24"/>
        </w:rPr>
        <w:t xml:space="preserve">（信息来源：新华日报 6月12日  </w:t>
      </w:r>
      <w:hyperlink w:history="1" r:id="rIdvpazvfesskhdpb4coykpd">
        <w:r>
          <w:rPr>
            <w:rStyle w:val="Hyperlink"/>
            <w:rFonts w:ascii="仿宋_GB2312" w:cs="仿宋_GB2312" w:eastAsia="仿宋_GB2312" w:hAnsi="仿宋_GB2312"/>
            <w:sz w:val="24"/>
            <w:szCs w:val="24"/>
          </w:rPr>
          <w:t xml:space="preserve">https://xh.xhby.net/pc/con/202606/12/content_1562778.html</w:t>
        </w:r>
      </w:hyperlink>
      <w:r>
        <w:rPr>
          <w:rFonts w:ascii="仿宋_GB2312" w:cs="仿宋_GB2312" w:eastAsia="仿宋_GB2312" w:hAnsi="仿宋_GB2312"/>
          <w:color w:val="666666"/>
          <w:sz w:val="24"/>
          <w:szCs w:val="24"/>
        </w:rPr>
        <w:t xml:space="preserve">）</w:t>
      </w:r>
    </w:p>
    <w:p>
      <w:pPr>
        <w:pBdr>
          <w:bottom w:val="single" w:color="DDDDDD" w:sz="1" w:space="1"/>
        </w:pBdr>
        <w:spacing w:after="60" w:before="60"/>
      </w:pPr>
    </w:p>
    <w:p>
      <w:pPr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2. </w:t>
      </w:r>
      <w:r>
        <w:rPr>
          <w:rFonts w:ascii="黑体" w:cs="黑体" w:eastAsia="黑体" w:hAnsi="黑体"/>
          <w:b/>
          <w:bCs/>
          <w:sz w:val="28"/>
          <w:szCs w:val="28"/>
        </w:rPr>
        <w:t xml:space="preserve">珠海以"一照通行"改革激活新质生产力发展引擎</w:t>
      </w:r>
    </w:p>
    <w:p>
      <w:pPr>
        <w:spacing w:after="80" w:line="560"/>
      </w:pPr>
      <w:r>
        <w:rPr>
          <w:rFonts w:ascii="仿宋_GB2312" w:cs="仿宋_GB2312" w:eastAsia="仿宋_GB2312" w:hAnsi="仿宋_GB2312"/>
          <w:sz w:val="28"/>
          <w:szCs w:val="28"/>
        </w:rPr>
        <w:t xml:space="preserve">珠海市以全省"一照通行"改革为突破口，依托数字化赋能重构涉企审批流程，探索以营商"软实力"构筑城市竞争"硬支撑"的有效路径。一是精准破题打通企业准入准营堵点，整合市场监管、公安、卫健、消防等多部门职能事项，构建"按需组合、一表填报、一次提交、并联审批"新模式，企业开办全流程压缩至平均半小时内办结，涉企登记材料整体压缩40%；药械领域告知承诺制改革扩围至食品、药品、医疗器械三大领域，符合条件的连锁企业新店可实现当日申请当日发证。二是服务前移打造跨境投资优选地，将53项企业开办经营许可高频事项整体前移至澳门落地办理，联动澳门招商投资促进局、粤澳工商联会设立专属服务端口，实现跨境办企"零跑动、无感办理"，2024年至2026年5月新登记港澳企业超5000户。三是持续优化营商生态赋能产业集聚，上线企业信息变更、企业注销、开办餐饮店等6项高频"一件事"，市场监管部门累计减少环节49个、材料108份、跑动35次；广东连续4年获评全国营商环境最佳口碑省份，全省经营主体总量突破2000万户。</w:t>
      </w:r>
    </w:p>
    <w:p>
      <w:pPr>
        <w:spacing w:after="200"/>
      </w:pPr>
      <w:r>
        <w:rPr>
          <w:rFonts w:ascii="仿宋_GB2312" w:cs="仿宋_GB2312" w:eastAsia="仿宋_GB2312" w:hAnsi="仿宋_GB2312"/>
          <w:color w:val="666666"/>
          <w:sz w:val="24"/>
          <w:szCs w:val="24"/>
        </w:rPr>
        <w:t xml:space="preserve">（信息来源：南方日报 6月11日  </w:t>
      </w:r>
      <w:hyperlink w:history="1" r:id="rId9sbbdaifrkxlu6iqys56s">
        <w:r>
          <w:rPr>
            <w:rStyle w:val="Hyperlink"/>
            <w:rFonts w:ascii="仿宋_GB2312" w:cs="仿宋_GB2312" w:eastAsia="仿宋_GB2312" w:hAnsi="仿宋_GB2312"/>
            <w:sz w:val="24"/>
            <w:szCs w:val="24"/>
          </w:rPr>
          <w:t xml:space="preserve">https://epaper.nfnews.com/nfdaily/html/202606/11/content_10172860.html</w:t>
        </w:r>
      </w:hyperlink>
      <w:r>
        <w:rPr>
          <w:rFonts w:ascii="仿宋_GB2312" w:cs="仿宋_GB2312" w:eastAsia="仿宋_GB2312" w:hAnsi="仿宋_GB2312"/>
          <w:color w:val="666666"/>
          <w:sz w:val="24"/>
          <w:szCs w:val="24"/>
        </w:rPr>
        <w:t xml:space="preserve">）</w:t>
      </w:r>
    </w:p>
    <w:p>
      <w:pPr>
        <w:pBdr>
          <w:bottom w:val="single" w:color="DDDDDD" w:sz="1" w:space="1"/>
        </w:pBdr>
        <w:spacing w:after="60" w:before="60"/>
      </w:pPr>
    </w:p>
    <w:p>
      <w:pPr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 </w:t>
      </w:r>
      <w:r>
        <w:rPr>
          <w:rFonts w:ascii="黑体" w:cs="黑体" w:eastAsia="黑体" w:hAnsi="黑体"/>
          <w:b/>
          <w:bCs/>
          <w:sz w:val="28"/>
          <w:szCs w:val="28"/>
        </w:rPr>
        <w:t xml:space="preserve">湖南发布156个重大工业项目清单加速"制造"向"智造"跃升</w:t>
      </w:r>
    </w:p>
    <w:p>
      <w:pPr>
        <w:spacing w:after="80" w:line="560"/>
      </w:pPr>
      <w:r>
        <w:rPr>
          <w:rFonts w:ascii="仿宋_GB2312" w:cs="仿宋_GB2312" w:eastAsia="仿宋_GB2312" w:hAnsi="仿宋_GB2312"/>
          <w:sz w:val="28"/>
          <w:szCs w:val="28"/>
        </w:rPr>
        <w:t xml:space="preserve">湖南省工信厅发布《2026年湖南省工业领域重大项目清单（第一批）》，共纳入156个重大项目覆盖全省14个市州，以新能源和新材料为主力方向推动产业升级。一是新能源新材料项目成"绝对主力"，清单中涉及锂电、储能、氢能、先进材料等领域项目超过40个，包括钠能时代总部暨产业化基地、湖南大中赫年产20GWh储能电池、永杉锂业年产22000吨高纯碳酸锂等项目，凸显加速构建新能源全产业链的战略布局。二是高端装备与智能制造项目多点开花，中联重科中联数智园、星邦智能国际智造城、北汽福田M6中卡新车型导入、中车电驱系统产能建设等项目入选，涵盖工程机械、轨道交通、航空航天、智能农机等多个优势领域，推动"湖南制造"向"湖南智造"跃升。三是新一代信息技术与生物医药产业加速布局，惠科Mini-LED、长沙普照高精度掩模基板、湖南（株洲）北斗信息产业园以及华纳大药厂高端原料药基地、九典制药智能化生产基地等项目入选，反映在电子信息、北斗应用、生物医药等新兴赛道持续发力。省工信厅明确将优先推荐清单内项目申报国家专项，并建立按月调度机制推动项目早落地早投产。</w:t>
      </w:r>
    </w:p>
    <w:p>
      <w:pPr>
        <w:spacing w:after="200"/>
      </w:pPr>
      <w:r>
        <w:rPr>
          <w:rFonts w:ascii="仿宋_GB2312" w:cs="仿宋_GB2312" w:eastAsia="仿宋_GB2312" w:hAnsi="仿宋_GB2312"/>
          <w:color w:val="666666"/>
          <w:sz w:val="24"/>
          <w:szCs w:val="24"/>
        </w:rPr>
        <w:t xml:space="preserve">（信息来源：湖南日报 6月11日  </w:t>
      </w:r>
      <w:hyperlink w:history="1" r:id="rId3a2g9hdjn18jyidklh8pu">
        <w:r>
          <w:rPr>
            <w:rStyle w:val="Hyperlink"/>
            <w:rFonts w:ascii="仿宋_GB2312" w:cs="仿宋_GB2312" w:eastAsia="仿宋_GB2312" w:hAnsi="仿宋_GB2312"/>
            <w:sz w:val="24"/>
            <w:szCs w:val="24"/>
          </w:rPr>
          <w:t xml:space="preserve">https://epaper.voc.com.cn/hnrb/html/2026-06/12/content_1789699.htm</w:t>
        </w:r>
      </w:hyperlink>
      <w:r>
        <w:rPr>
          <w:rFonts w:ascii="仿宋_GB2312" w:cs="仿宋_GB2312" w:eastAsia="仿宋_GB2312" w:hAnsi="仿宋_GB2312"/>
          <w:color w:val="666666"/>
          <w:sz w:val="24"/>
          <w:szCs w:val="24"/>
        </w:rPr>
        <w:t xml:space="preserve">）</w:t>
      </w:r>
    </w:p>
    <w:p>
      <w:pPr>
        <w:pBdr>
          <w:bottom w:val="single" w:color="DDDDDD" w:sz="1" w:space="1"/>
        </w:pBdr>
        <w:spacing w:after="60" w:before="60"/>
      </w:pPr>
    </w:p>
    <w:p>
      <w:pPr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4. </w:t>
      </w:r>
      <w:r>
        <w:rPr>
          <w:rFonts w:ascii="黑体" w:cs="黑体" w:eastAsia="黑体" w:hAnsi="黑体"/>
          <w:b/>
          <w:bCs/>
          <w:sz w:val="28"/>
          <w:szCs w:val="28"/>
        </w:rPr>
        <w:t xml:space="preserve">山东信息技术产业收入突破2万亿元，信创大会在济南召开</w:t>
      </w:r>
    </w:p>
    <w:p>
      <w:pPr>
        <w:spacing w:after="80" w:line="560"/>
      </w:pPr>
      <w:r>
        <w:rPr>
          <w:rFonts w:ascii="仿宋_GB2312" w:cs="仿宋_GB2312" w:eastAsia="仿宋_GB2312" w:hAnsi="仿宋_GB2312"/>
          <w:sz w:val="28"/>
          <w:szCs w:val="28"/>
        </w:rPr>
        <w:t xml:space="preserve">2026信息技术应用创新发展大会6月11日在济南举行，以"智信融合创新发展"为主题，聚焦人工智能与信息技术应用创新深度融合，汇聚多方力量推动信创产业高质量发展。一是产业规模迈上新台阶，2025年山东全省信息技术产业收入首次突破2万亿元达2.06万亿元，同比增长9.2%；软件业务收入1.6万亿元稳居全国第4，关键软件业务收入居全国第一，数字经济已撑起全省经济"半壁江山"。二是人工智能深度赋能制造业，2025年全省人工智能核心产业营收突破1200亿元约占全国10%，累计开发122个垂直专用大模型实现制造业31个大类全覆盖，规上制造企业人工智能应用普及率超35%，累计培育国家领航级智能工厂2家、卓越级49家，数量分居全国第一和第二。三是关键技术攻关取得突破，中创股份参与编制最新国际中间件技术规范，浪潮"云海"云操作系统打破两项世界纪录，华天软件"皇冠CAD"打破国外三维CAD垄断开启国产三维CAD"云时代"。四是大会发布"强链优解聚力筑基"场景化解决方案供需协同联合攻坚专项计划，推动信创产品从试点走向普及、从办公场景走向核心业务。</w:t>
      </w:r>
    </w:p>
    <w:p>
      <w:pPr>
        <w:spacing w:after="200"/>
      </w:pPr>
      <w:r>
        <w:rPr>
          <w:rFonts w:ascii="仿宋_GB2312" w:cs="仿宋_GB2312" w:eastAsia="仿宋_GB2312" w:hAnsi="仿宋_GB2312"/>
          <w:color w:val="666666"/>
          <w:sz w:val="24"/>
          <w:szCs w:val="24"/>
        </w:rPr>
        <w:t xml:space="preserve">（信息来源：大众日报 6月11日  </w:t>
      </w:r>
      <w:hyperlink w:history="1" r:id="rIdyhuuyunojwmawgvny31oy">
        <w:r>
          <w:rPr>
            <w:rStyle w:val="Hyperlink"/>
            <w:rFonts w:ascii="仿宋_GB2312" w:cs="仿宋_GB2312" w:eastAsia="仿宋_GB2312" w:hAnsi="仿宋_GB2312"/>
            <w:sz w:val="24"/>
            <w:szCs w:val="24"/>
          </w:rPr>
          <w:t xml:space="preserve">https://sd.dzwww.com/sdnews/202606/t20260611_17828233.htm</w:t>
        </w:r>
      </w:hyperlink>
      <w:r>
        <w:rPr>
          <w:rFonts w:ascii="仿宋_GB2312" w:cs="仿宋_GB2312" w:eastAsia="仿宋_GB2312" w:hAnsi="仿宋_GB2312"/>
          <w:color w:val="666666"/>
          <w:sz w:val="24"/>
          <w:szCs w:val="24"/>
        </w:rPr>
        <w:t xml:space="preserve">）</w:t>
      </w:r>
    </w:p>
    <w:p>
      <w:pPr>
        <w:pBdr>
          <w:bottom w:val="single" w:color="DDDDDD" w:sz="1" w:space="1"/>
        </w:pBdr>
        <w:spacing w:after="60" w:before="60"/>
      </w:pPr>
    </w:p>
    <w:p>
      <w:pPr>
        <w:spacing w:after="12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5. </w:t>
      </w:r>
      <w:r>
        <w:rPr>
          <w:rFonts w:ascii="黑体" w:cs="黑体" w:eastAsia="黑体" w:hAnsi="黑体"/>
          <w:b/>
          <w:bCs/>
          <w:sz w:val="28"/>
          <w:szCs w:val="28"/>
        </w:rPr>
        <w:t xml:space="preserve">重庆新增6个市级中小企业特色产业集群，集聚423家企业</w:t>
      </w:r>
    </w:p>
    <w:p>
      <w:pPr>
        <w:spacing w:after="80" w:line="560"/>
      </w:pPr>
      <w:r>
        <w:rPr>
          <w:rFonts w:ascii="仿宋_GB2312" w:cs="仿宋_GB2312" w:eastAsia="仿宋_GB2312" w:hAnsi="仿宋_GB2312"/>
          <w:sz w:val="28"/>
          <w:szCs w:val="28"/>
        </w:rPr>
        <w:t xml:space="preserve">重庆市经济信息委近日新认定两江新区新能源汽车座舱部件产业等6个市级中小企业特色产业集群，通过建群强链推动中小企业协同创新发展。一是集群覆盖重点产业领域，6个集群分布在汽摩、电子、软件等行业，涉及新能源汽车座舱部件、工业软件、工业模组及应用、绿色建材等方向，集聚中小企业423家，2025年实现产值883亿元。二是龙头企业牵引带动效应明显，以两江新区新能源汽车座舱部件产业集群为例，以智能座舱为核心带动车身系统、智能电子、驾乘舒适件等配套产业协同发展，汇聚南方佛吉亚等细分龙头及北汽模塑等全球零部件百强企业，集聚中小企业116家，含专精特新中小企业44家、专精特新"小巨人"企业4家。三是创新驱动成效显著，近三年该集群内中小企业主导参与各类标准制定63项，拥有有效发明专利464个。截至目前，重庆累计培育市级中小企业特色集群53个，共集聚中小企业5527家，其中含专精特新中小企业1424家、专精特新"小巨人"企业151家、制造业单项冠军企业15家。</w:t>
      </w:r>
    </w:p>
    <w:p>
      <w:pPr>
        <w:spacing w:after="200"/>
      </w:pPr>
      <w:r>
        <w:rPr>
          <w:rFonts w:ascii="仿宋_GB2312" w:cs="仿宋_GB2312" w:eastAsia="仿宋_GB2312" w:hAnsi="仿宋_GB2312"/>
          <w:color w:val="666666"/>
          <w:sz w:val="24"/>
          <w:szCs w:val="24"/>
        </w:rPr>
        <w:t xml:space="preserve">（信息来源：重庆日报 6月11日  </w:t>
      </w:r>
      <w:hyperlink w:history="1" r:id="rIdwvqlwjsbtt21xwurzavkx">
        <w:r>
          <w:rPr>
            <w:rStyle w:val="Hyperlink"/>
            <w:rFonts w:ascii="仿宋_GB2312" w:cs="仿宋_GB2312" w:eastAsia="仿宋_GB2312" w:hAnsi="仿宋_GB2312"/>
            <w:sz w:val="24"/>
            <w:szCs w:val="24"/>
          </w:rPr>
          <w:t xml:space="preserve">https://epaper.cqrb.cn/cqrb/2026-06/11/003/content_rb_360906.htm</w:t>
        </w:r>
      </w:hyperlink>
      <w:r>
        <w:rPr>
          <w:rFonts w:ascii="仿宋_GB2312" w:cs="仿宋_GB2312" w:eastAsia="仿宋_GB2312" w:hAnsi="仿宋_GB2312"/>
          <w:color w:val="666666"/>
          <w:sz w:val="24"/>
          <w:szCs w:val="24"/>
        </w:rPr>
        <w:t xml:space="preserve">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仿宋_GB2312" w:cs="仿宋_GB2312" w:eastAsia="仿宋_GB2312" w:hAnsi="仿宋_GB2312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pazvfesskhdpb4coykpd" Type="http://schemas.openxmlformats.org/officeDocument/2006/relationships/hyperlink" Target="https://xh.xhby.net/pc/con/202606/12/content_1562778.html" TargetMode="External"/><Relationship Id="rId9sbbdaifrkxlu6iqys56s" Type="http://schemas.openxmlformats.org/officeDocument/2006/relationships/hyperlink" Target="https://epaper.nfnews.com/nfdaily/html/202606/11/content_10172860.html" TargetMode="External"/><Relationship Id="rId3a2g9hdjn18jyidklh8pu" Type="http://schemas.openxmlformats.org/officeDocument/2006/relationships/hyperlink" Target="https://epaper.voc.com.cn/hnrb/html/2026-06/12/content_1789699.htm" TargetMode="External"/><Relationship Id="rIdyhuuyunojwmawgvny31oy" Type="http://schemas.openxmlformats.org/officeDocument/2006/relationships/hyperlink" Target="https://sd.dzwww.com/sdnews/202606/t20260611_17828233.htm" TargetMode="External"/><Relationship Id="rIdwvqlwjsbtt21xwurzavkx" Type="http://schemas.openxmlformats.org/officeDocument/2006/relationships/hyperlink" Target="https://epaper.cqrb.cn/cqrb/2026-06/11/003/content_rb_360906.htm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2026-06-12T00:31:53.228Z</dcterms:created>
  <dcterms:modified xsi:type="dcterms:W3CDTF">2026-06-12T00:31:53.229Z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