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after="120"/>
        <w:jc w:val="center"/>
      </w:pPr>
      <w:r>
        <w:rPr>
          <w:rFonts w:ascii="黑体" w:hAnsi="黑体" w:eastAsia="黑体"/>
          <w:b/>
          <w:sz w:val="32"/>
        </w:rPr>
        <w:t>媒体信息摘报</w:t>
      </w:r>
    </w:p>
    <w:p>
      <w:pPr>
        <w:spacing w:lineRule="exact" w:line="560" w:after="120"/>
        <w:jc w:val="center"/>
      </w:pPr>
      <w:r>
        <w:rPr>
          <w:rFonts w:ascii="黑体" w:hAnsi="黑体" w:eastAsia="黑体"/>
          <w:b/>
          <w:sz w:val="32"/>
        </w:rPr>
        <w:t>（2026年10月20日）</w:t>
      </w:r>
    </w:p>
    <w:p>
      <w:pPr>
        <w:spacing w:lineRule="exact" w:line="560" w:after="80"/>
        <w:ind w:firstLine="640"/>
      </w:pPr>
      <w:r>
        <w:rPr>
          <w:rFonts w:ascii="仿宋_GB2312" w:hAnsi="仿宋_GB2312" w:eastAsia="仿宋_GB2312"/>
          <w:b/>
          <w:sz w:val="32"/>
        </w:rPr>
        <w:t>1. 信用成为融资"硬通货"</w:t>
      </w:r>
    </w:p>
    <w:p>
      <w:pPr>
        <w:spacing w:lineRule="exact" w:line="560" w:after="80"/>
        <w:ind w:firstLine="640"/>
      </w:pPr>
      <w:r>
        <w:rPr>
          <w:rFonts w:ascii="仿宋_GB2312" w:hAnsi="仿宋_GB2312" w:eastAsia="仿宋_GB2312"/>
          <w:b w:val="0"/>
          <w:sz w:val="32"/>
        </w:rPr>
        <w:t>湖南推出金融创新产品"公积金惠企贷"，针对连续、稳定缴存公积金的小微企业，凭缴存信用即可申请纯信用贷款，无需抵押担保，利率一般低于同类贷款。株洲率先落地该业务并形成可复制、可推广的小微企业纯信用融资模式。具体做法如下：一是明确申请门槛。企业连续足额缴存公积金满12个月、经营和征信状况良好即可申请（长沙等地要求足额缴存满24个月），以缴存信用替代抵押物与担保人。二是配套专项额度。株洲市住房公积金管理中心为率先落地的工行株洲分行配套1500万元专属额度，专项用于扩大产品投放规模。三是搭建政银企三方协作平台。株洲专项发布"公积金惠企贷"金融品牌，市公积金中心联合工行等8家银行集中签约，首批授信总规模达6500万元。四是全省复制推广。长沙创新"住房公积金+金融"服务模式，依托政银企对接合作平台将企业缴存公积金形成的信用转化为可融资资产；常德市住房公积金管理中心与中国银行常德分行签署合作协议，联合推出面向全市公积金缴存小微企业的专属信用贷款产品。五是延伸产业链金融。工行株洲分行聚焦制造业，创新推出"科技e贷""知识产权质押贷""专精特新贷"等专属产品，围绕产业链交易场景、经营周期、资产特点设计金融产品，并为投入期与盈利期存在时间差的航空航天产业链企业湖南赛德雷特卫星科技有限公司设计专属流动资金贷款方案予以支持。</w:t>
      </w:r>
    </w:p>
    <w:p>
      <w:pPr>
        <w:spacing w:lineRule="exact" w:line="560" w:after="80"/>
        <w:ind w:firstLine="640"/>
      </w:pPr>
      <w:r>
        <w:rPr>
          <w:rFonts w:ascii="仿宋_GB2312" w:hAnsi="仿宋_GB2312" w:eastAsia="仿宋_GB2312"/>
          <w:b w:val="0"/>
          <w:sz w:val="32"/>
        </w:rPr>
        <w:t>（信息来源：湖南日报10月20日《信用成为融资"硬通货"》  https://epaper.voc.com.cn/hnrb/html/2026-10/20/content_1804597.htm?div=-1）</w:t>
      </w:r>
    </w:p>
    <w:p>
      <w:pPr>
        <w:spacing w:lineRule="exact" w:line="560" w:after="80"/>
        <w:ind w:firstLine="640"/>
      </w:pPr>
      <w:r>
        <w:rPr>
          <w:rFonts w:ascii="仿宋_GB2312" w:hAnsi="仿宋_GB2312" w:eastAsia="仿宋_GB2312"/>
          <w:b/>
          <w:sz w:val="32"/>
        </w:rPr>
        <w:t>2. "六化"聚势，推动湖南服务业扩能提质</w:t>
      </w:r>
    </w:p>
    <w:p>
      <w:pPr>
        <w:spacing w:lineRule="exact" w:line="560" w:after="80"/>
        <w:ind w:firstLine="640"/>
      </w:pPr>
      <w:r>
        <w:rPr>
          <w:rFonts w:ascii="仿宋_GB2312" w:hAnsi="仿宋_GB2312" w:eastAsia="仿宋_GB2312"/>
          <w:b w:val="0"/>
          <w:sz w:val="32"/>
        </w:rPr>
        <w:t>今年6月，湖南首次召开全省服务业大会，明确便利化、品质化、精细化、高端化、智能化、融合化"六化"发展方向，拉开服务业扩能提质大幕。具体做法如下：一是以两业融合定标准。制定"两业融合共进"行动方案，推动先进制造业和现代服务业"嵌入式""强链式""延伸式"融合，累计培育国家级两业融合试点9家、省级试点150家，长沙、株洲获批国家级两业融合试点区域；创新构建全国首个省级两业融合发展试点评价指标体系，形成"怎么融、融到什么程度"的可衡量标尺。二是以场景开放造土壤。省政府印发《推进服务业扩能提质行动方案（2026—2028年）》，实施场景驱动创新工程，打造200个典型应用场景，到2028年力争生产性服务业增加值占服务业增加值比重达45%；推动重点园区、企业布局建设100家中试验证基地和共性技术平台。三是以"六化"协同破堵点。以便利化引导品牌早餐、连锁生鲜、家政服务向"一刻钟"生活圈集聚，鼓励24小时无人零售、预约制家政、错峰养老助餐；以品质化培育康养旅居、高端文旅、品质家政；以精细化健全养老托育点、社区食堂、便民维修点；以高端化依托"1+N"国家实验室体系等建设技术创新中心、概念验证中心；以智能化实施"智赋万企"行动、滚动实施"人工智能+""五个十大"；以融合化培育专业化品牌运营服务机构。</w:t>
      </w:r>
    </w:p>
    <w:p>
      <w:pPr>
        <w:spacing w:lineRule="exact" w:line="560" w:after="80"/>
        <w:ind w:firstLine="640"/>
      </w:pPr>
      <w:r>
        <w:rPr>
          <w:rFonts w:ascii="仿宋_GB2312" w:hAnsi="仿宋_GB2312" w:eastAsia="仿宋_GB2312"/>
          <w:b w:val="0"/>
          <w:sz w:val="32"/>
        </w:rPr>
        <w:t>（信息来源：湖南日报10月20日《"六化"聚势，推动湖南服务业扩能提质》  https://epaper.voc.com.cn/hnrb/html/2026-10/20/content_1804584.htm）</w:t>
      </w:r>
    </w:p>
    <w:p>
      <w:pPr>
        <w:spacing w:lineRule="exact" w:line="560" w:after="80"/>
        <w:ind w:firstLine="640"/>
      </w:pPr>
      <w:r>
        <w:rPr>
          <w:rFonts w:ascii="仿宋_GB2312" w:hAnsi="仿宋_GB2312" w:eastAsia="仿宋_GB2312"/>
          <w:b/>
          <w:sz w:val="32"/>
        </w:rPr>
        <w:t>3. 风味插上数字翼，让陕西味道香飘全球</w:t>
      </w:r>
    </w:p>
    <w:p>
      <w:pPr>
        <w:spacing w:lineRule="exact" w:line="560" w:after="80"/>
        <w:ind w:firstLine="640"/>
      </w:pPr>
      <w:r>
        <w:rPr>
          <w:rFonts w:ascii="仿宋_GB2312" w:hAnsi="仿宋_GB2312" w:eastAsia="仿宋_GB2312"/>
          <w:b w:val="0"/>
          <w:sz w:val="32"/>
        </w:rPr>
        <w:t>陕西首条全智能肉夹馍产线近期在兴平投产，面粉精磨、智能揉面、恒温烤馍、自动拌料、定量填馅、无菌封装一气呵成，单份重量误差控制在5克以内，成品加热即食，把传统小吃从"师傅手感"推进到"标准可复制"。对致力于打造万亿级文化旅游业、推动陕菜与特色食品产业化的陕西而言，这不仅是一条产线的事，更是传统风味如何实现现代转化、区域品牌如何参与全球竞争的现实课题。长期以来，陕菜"走出去"面临困境：馍完全靠手工，门店开得越多口味越易走样；简单工业化又常被诟病丢掉焦香酥脆本真。该产线给出的解法如下：一是数字化拆解老师傅经验。将烤馍火候、卤肉配方等无形经验拆解为温度、时间、重量、水分、馅料配比等可量化参数，用恒温烤制守住馍壳层次，用定量填馅守住咸淡浓郁，用无菌封装守住食品安全。二是完善多维标准体系。标准不仅管重量误差，还管风味稳定性、原料溯源、低碳生产和劳动技能，避免"智能"沦为减配降价。三是算好富民账。智能产线带动小麦、畜禽、油料就地转化，通过订单农业、技能培训、劳务品牌让群众分享增值。四是推动产业集群。把当地食品厂从"做产品"推向"做标准、做渠道、做IP"，使肉夹馍、凉皮、油泼面等品类共用数字底座，形成陕味产业集群。五是拓展出海通道。与跨境电商、海外中央厨房并行，用品牌门店传递礼仪、节令、非遗故事，把方便食品做成文化体验。</w:t>
      </w:r>
    </w:p>
    <w:p>
      <w:pPr>
        <w:spacing w:lineRule="exact" w:line="560" w:after="80"/>
        <w:ind w:firstLine="640"/>
      </w:pPr>
      <w:r>
        <w:rPr>
          <w:rFonts w:ascii="仿宋_GB2312" w:hAnsi="仿宋_GB2312" w:eastAsia="仿宋_GB2312"/>
          <w:b w:val="0"/>
          <w:sz w:val="32"/>
        </w:rPr>
        <w:t>（信息来源：陕西日报10月20日《风味插上数字翼，让陕西味道香飘全球》  https://esb.sxdaily.com.cn/pc/content/202610/20/content_2589795.html）</w:t>
      </w:r>
    </w:p>
    <w:p>
      <w:pPr>
        <w:spacing w:lineRule="exact" w:line="560" w:after="80"/>
        <w:ind w:firstLine="640"/>
      </w:pPr>
      <w:r>
        <w:rPr>
          <w:rFonts w:ascii="仿宋_GB2312" w:hAnsi="仿宋_GB2312" w:eastAsia="仿宋_GB2312"/>
          <w:b/>
          <w:sz w:val="32"/>
        </w:rPr>
        <w:t>4. "聚势"夯实底盘 "向新"打开空间</w:t>
      </w:r>
    </w:p>
    <w:p>
      <w:pPr>
        <w:spacing w:lineRule="exact" w:line="560" w:after="80"/>
        <w:ind w:firstLine="640"/>
      </w:pPr>
      <w:r>
        <w:rPr>
          <w:rFonts w:ascii="仿宋_GB2312" w:hAnsi="仿宋_GB2312" w:eastAsia="仿宋_GB2312"/>
          <w:b w:val="0"/>
          <w:sz w:val="32"/>
        </w:rPr>
        <w:t>10月17日，2026能源·化工天府科创大会在眉山开幕，主题从过去聚焦锂电等单一赛道扩展至整个能源化工与科技创新领域。大会发布《眉山新能源新材料化工产业机会清单》，系统梳理延链补链强链的重大机遇与重点项目，涵盖固态电池界面处理技术攻关等25个需求清单，以及综合能源、虚拟电厂、科创孵化与成果转化等52个供给清单。眉山推动科技成果转化的具体做法如下：一是坚持"企业出题、市场牵引、科研解题"。在眉山市新能源新材料融合创新中心，中试阶段就拿样品对接头部客户，根据反馈迭代产品，产品从诞生之初就锚定市场需求，全球首条大规模单体年产200吨硫化锂量产示范线由此跑通。二是深化校地企合作。9月20日，"新能源电池全生命周期检测与标准化技术联合实验室"在四川大学眉山校区揭牌，四川大学负责技术研发，四川省产业技术研究院承担中试熟化与孵化，眉山投资控股集团有限公司做产业化落地，三方优势叠加打通从"0"到"1"、从"1"到"N"的创新全链条。三是统筹布局市级实验室体系。大会公布首批8个眉山实验室，重点围绕锂电、低空经济、人工智能领域布局，把分散在企业和高校院所的研发力量集中起来，形成创新策源能力，为创建省级实验室储备力量。</w:t>
      </w:r>
    </w:p>
    <w:p>
      <w:pPr>
        <w:spacing w:lineRule="exact" w:line="560" w:after="80"/>
        <w:ind w:firstLine="640"/>
      </w:pPr>
      <w:r>
        <w:rPr>
          <w:rFonts w:ascii="仿宋_GB2312" w:hAnsi="仿宋_GB2312" w:eastAsia="仿宋_GB2312"/>
          <w:b w:val="0"/>
          <w:sz w:val="32"/>
        </w:rPr>
        <w:t>（信息来源：四川日报10月20日《"聚势"夯实底盘 "向新"打开空间》  https://epaper.scdaily.cn/shtml/scrb/20261020/1092439.html）</w:t>
      </w:r>
    </w:p>
    <w:p>
      <w:pPr>
        <w:spacing w:lineRule="exact" w:line="560" w:after="80"/>
        <w:ind w:firstLine="640"/>
      </w:pPr>
      <w:r>
        <w:rPr>
          <w:rFonts w:ascii="仿宋_GB2312" w:hAnsi="仿宋_GB2312" w:eastAsia="仿宋_GB2312"/>
          <w:b/>
          <w:sz w:val="32"/>
        </w:rPr>
        <w:t>5. 合肥出台25条措施 加快推动智能体创新发展</w:t>
      </w:r>
    </w:p>
    <w:p>
      <w:pPr>
        <w:spacing w:lineRule="exact" w:line="560" w:after="80"/>
        <w:ind w:firstLine="640"/>
      </w:pPr>
      <w:r>
        <w:rPr>
          <w:rFonts w:ascii="仿宋_GB2312" w:hAnsi="仿宋_GB2312" w:eastAsia="仿宋_GB2312"/>
          <w:b w:val="0"/>
          <w:sz w:val="32"/>
        </w:rPr>
        <w:t>10月16日，合肥市科技局等四部门联合印发《合肥市加快智能体引领高质量发展的若干措施》，围绕基础模型能力提升、底层共性技术攻关、多领域应用、智能终端融合、科学研究、大科学装置、量子技术、创新创业生态、安全治理和要素供给十个方面推出25条具体举措，自2026年10月13日起实施，有效期1年，旨在贯彻落实国家人工智能发展战略和安徽省关于人工智能的相关工作部署。具体做法如下：一是赋能科研与大科学装置。依托EAST、BEST、先进光源、强磁场等重大科技基础设施，构建大科学装置多智能体协同创新体系；推动新型研发机构向AI原生研究机构探索发展，以智能体技术赋能科研全链条；建设"量超智"融合算力底座，整合量子计算、超级计算与智能计算资源，实现智能体对三类算力的按需调用。二是拓展产业应用与创新创业。推动智能体向工业制造、教育、医疗、政务等领域延伸，加快建设全市OPC（一人公司）社区体系；支持创新主体建设"Token工厂"，将Token调用及智能体服务纳入算力券使用范围，探索Token政府采购，以市场化集采赋能政务智能化落地。三是强化全链条部署。从基础模型能力提升、底层共性技术攻关到智能终端融合、安全治理与要素供给，形成覆盖技术研发、场景应用、产业生态的完整政策闭环，重点推动智能体技术创新和产业应用。</w:t>
      </w:r>
    </w:p>
    <w:p>
      <w:pPr>
        <w:spacing w:lineRule="exact" w:line="560" w:after="80"/>
        <w:ind w:firstLine="640"/>
      </w:pPr>
      <w:r>
        <w:rPr>
          <w:rFonts w:ascii="仿宋_GB2312" w:hAnsi="仿宋_GB2312" w:eastAsia="仿宋_GB2312"/>
          <w:b w:val="0"/>
          <w:sz w:val="32"/>
        </w:rPr>
        <w:t>（信息来源：安徽日报10月20日《合肥出台25条措施 加快推动智能体创新发展》  https://api.app.anhuinews.com/pc/content/9673437.html）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