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60" w:lineRule="exact"/>
        <w:jc w:val="center"/>
      </w:pPr>
      <w:r>
        <w:rPr>
          <w:rFonts w:ascii="黑体" w:hAnsi="黑体" w:eastAsia="黑体"/>
          <w:b/>
          <w:sz w:val="32"/>
        </w:rPr>
        <w:t>9月14日媒体信息摘报</w:t>
      </w:r>
    </w:p>
    <w:p>
      <w:pPr>
        <w:spacing w:line="560" w:lineRule="exact"/>
        <w:jc w:val="center"/>
      </w:pPr>
      <w:r>
        <w:rPr>
          <w:rFonts w:ascii="仿宋_GB2312" w:hAnsi="仿宋_GB2312" w:eastAsia="仿宋_GB2312"/>
          <w:b w:val="0"/>
          <w:sz w:val="32"/>
        </w:rPr>
        <w:t>（2026年9月14日）</w:t>
      </w:r>
    </w:p>
    <w:p>
      <w:pPr>
        <w:spacing w:line="560" w:lineRule="exact"/>
      </w:pPr>
      <w:r>
        <w:rPr>
          <w:rFonts w:ascii="黑体" w:hAnsi="黑体" w:eastAsia="黑体"/>
          <w:b/>
          <w:sz w:val="32"/>
        </w:rPr>
        <w:t>1. 选准赛道集聚成势——江西首批经济强县培育壮大特色优势产业的调查与思考</w:t>
      </w:r>
    </w:p>
    <w:p>
      <w:pPr>
        <w:spacing w:line="560" w:lineRule="exact"/>
        <w:ind w:firstLine="640"/>
      </w:pPr>
      <w:r>
        <w:rPr>
          <w:rFonts w:ascii="仿宋_GB2312" w:hAnsi="仿宋_GB2312" w:eastAsia="仿宋_GB2312"/>
          <w:b w:val="0"/>
          <w:sz w:val="32"/>
        </w:rPr>
        <w:t>江西日报报道：江西在全省73个县（市）中科学选定首批经济强县、农业强县、文旅美县、生态名县共25个，首批7个经济强县2025年贡献全省十分之一以上经济总量。首批经济强县通过四个机制蹚出县域特色优势产业发展之路。一是创新服务机制：贵溪经开区推行"片区长+网格长+网格员"三级联动，创新"企业投产一件事"场景，审批效率提高50%以上；信丰县对标深圳打造"信速办"品牌，"免申即享"事项占比由56%提升至87%；南昌县制造业专班实行"半小时响应+全程代办"；樟树市升级"药都政企会客厅"，27名驻企服务专员随叫随到。二是做强链主集群：坚持"一县一主业"，南昌县以江铃集团为链主聚集300余家配套企业，2025年汽车及装备产业链产值达748.56亿元；贵溪市以江铜贵溪冶炼厂为链主，带动160家规上铜企业实现营业收入3362亿元。三是深化数智转型：玉山县整县上云获批省级试点；江铃控股焊装车间自动化率达92%，每千台车停机时间从100分钟压到10.5分钟；丰城245家规上企业实施数字化改造，改造率约86%。四是强化创新驱动：丰城把3毫米铜丝延展成4.5微米电子铜箔，湖口下水国内首制万吨级纯电动智能海船，樟树为"樟树枳壳"刻上区块链数字身份证。报道按优势跃迁型、资源转化型、借势突围型对7县分类施策，提出绘制价值链图谱锚定"微笑曲线"高附加值环节、实施"一县一品"区域品牌培育计划、推进知识产权质押融资和科技保险投贷联动等建议。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（信息来源：江西日报 2026年9月14日）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原文标题及链接：选准赛道集聚成势——江西首批经济强县培育壮大特色优势产业的调查与思考</w:t>
      </w:r>
    </w:p>
    <w:p>
      <w:pPr>
        <w:spacing w:line="560" w:lineRule="exact"/>
      </w:pPr>
      <w:hyperlink r:id="rId9">
        <w:r>
          <w:rPr>
            <w:rFonts w:ascii="仿宋_GB2312" w:eastAsia="仿宋_GB2312"/>
            <w:sz w:val="32"/>
            <w:color w:val="0563C1"/>
            <w:u w:val="single"/>
          </w:rPr>
          <w:t>https://jxrb.jxwmw.cn/system/2026/09/14/031243574.shtml</w:t>
        </w:r>
      </w:hyperlink>
    </w:p>
    <w:p>
      <w:pPr>
        <w:spacing w:line="560" w:lineRule="exact"/>
      </w:pPr>
      <w:r>
        <w:rPr>
          <w:rFonts w:ascii="黑体" w:hAnsi="黑体" w:eastAsia="黑体"/>
          <w:b/>
          <w:sz w:val="32"/>
        </w:rPr>
        <w:t>2. 生产性服务业"链"上发力 如何重塑江西营商环境？</w:t>
      </w:r>
    </w:p>
    <w:p>
      <w:pPr>
        <w:spacing w:line="560" w:lineRule="exact"/>
        <w:ind w:firstLine="640"/>
      </w:pPr>
      <w:r>
        <w:rPr>
          <w:rFonts w:ascii="仿宋_GB2312" w:hAnsi="仿宋_GB2312" w:eastAsia="仿宋_GB2312"/>
          <w:b w:val="0"/>
          <w:sz w:val="32"/>
        </w:rPr>
        <w:t>江南都市报报道：江西围绕科技服务、现代物流、软件信息、节能环保、商务服务五大领域全链条发力，推动生产性服务业成为制造业转型升级的"隐形翅膀"。一是科技服务与工业设计下沉：南昌青葵智造的AI化学机器人一周实验量相当于一名化学硕士三年总量，可直接过滤掉80%的无效实验；全省检验检测行动已服务企业9209家，帮助企业降本增效超2000万元；专业工业设计使企业单品溢价提升超20%；赣州一家家具企业引入智能排产系统后，订单交付周期从25天压缩至12天，库存周转率提升35%。二是物流降本：峡江县探索"产业+物流"协同模式，智慧平台让空驶率下降30%，18家园区企业物流成本直降20%以上；瑞金国际陆港创新"陆港+船公司"模式，通关时间压到6小时以内；杨家岭货运站改造后物流成本下降30%，预计每年为全县工业企业省下超5000万元；多式联运"一单制"在全省推广。三是融资提速：小微企业通过"赣金普惠"平台凭日常经营流水数据两天内获批80万元信用贷款；截至2025年末，全省普惠小微贷款余额近1.1万亿元，"赣金普惠"平台撮合融资超7700亿元，90%以上投向民营企业。四是节能与商务服务创新：合同能源管理采取"零投入、共受益"分成模式，万载县一家化工企业余热回收每年节省电费近200万元；南昌经开区中小企业服务中心推出"服务菜单"，法律咨询、上市辅导、知识产权布局等近20项服务明码标价、按需点单，知识产权代理机构驻点办公。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（信息来源：江南都市报 2026年9月14日）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原文标题及链接：生产性服务业"链"上发力 如何重塑江西营商环境？</w:t>
      </w:r>
    </w:p>
    <w:p>
      <w:pPr>
        <w:spacing w:line="560" w:lineRule="exact"/>
      </w:pPr>
      <w:hyperlink r:id="rId10">
        <w:r>
          <w:rPr>
            <w:rFonts w:ascii="仿宋_GB2312" w:eastAsia="仿宋_GB2312"/>
            <w:sz w:val="32"/>
            <w:color w:val="0563C1"/>
            <w:u w:val="single"/>
          </w:rPr>
          <w:t>https://jndsb.jxnews.com.cn/system/2026/09/14/031243619.shtml</w:t>
        </w:r>
      </w:hyperlink>
    </w:p>
    <w:p>
      <w:pPr>
        <w:spacing w:line="560" w:lineRule="exact"/>
      </w:pPr>
      <w:r>
        <w:rPr>
          <w:rFonts w:ascii="黑体" w:hAnsi="黑体" w:eastAsia="黑体"/>
          <w:b/>
          <w:sz w:val="32"/>
        </w:rPr>
        <w:t>3. 【智造世界·创造美好】一台"闺蜜机"背后的产业链式突破</w:t>
      </w:r>
    </w:p>
    <w:p>
      <w:pPr>
        <w:spacing w:line="560" w:lineRule="exact"/>
        <w:ind w:firstLine="640"/>
      </w:pPr>
      <w:r>
        <w:rPr>
          <w:rFonts w:ascii="仿宋_GB2312" w:hAnsi="仿宋_GB2312" w:eastAsia="仿宋_GB2312"/>
          <w:b w:val="0"/>
          <w:sz w:val="32"/>
        </w:rPr>
        <w:t>安徽日报报道：阜阳市颍上县围绕"延链、补链、强链"主线，依托龙头企业带动构建光电器件产业完整链条。一是构建全链条布局：依托翔胜科技、金泰光机电、特锐祥电子等龙头企业，构建起"上游光电原材料和装备—中游面板及模组生产—下游智能电子终端"的完整产业链条，全县集聚电子信息产业上下游企业160余家，2025年产业营收达122.3亿元。二是核心技术攻关：翔胜高端电阻、特锐祥高端电容、觅拓材料光刻胶光敏剂等技术均达国际先进水平；集群攻克国内35项"卡脖子"技术中的3项，每万人发明专利达25件。三是嵌入龙头配套体系：集群企业与中国电子、华为、京东方、比亚迪、TCL等龙头企业协同配套，按照"整机—零部件—关键工艺—产业集群—产业基地"发展路径，重点打造"端""屏""件"三大领域。四是营商环境配套：园区推行"帮办代办"服务，设立"一站式服务"窗口，承接上级下放赋权事项24项，从企业开办到项目建设全程"一窗受理、一站办结"；推行"基金招商"模式，设立科技产业投资基金、招商投资基金，实行"政府引导、专业机构管理、市场化运作"，以股权投资撬动社会资本，服务升级为基金赋能、技术攻关、用工保障的全周期保障。2024年9月该集群获批国家级中小企业特色产业集群，现已集聚国家级专精特新"小巨人"企业3家、省级专精特新企业23家、高新技术企业49家，力争到"十五五"末主导产业年产值突破150亿元。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（信息来源：安徽日报 2026年9月14日）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原文标题及链接：【智造世界·创造美好】一台"闺蜜机"背后的产业链式突破</w:t>
      </w:r>
    </w:p>
    <w:p>
      <w:pPr>
        <w:spacing w:line="560" w:lineRule="exact"/>
      </w:pPr>
      <w:hyperlink r:id="rId11">
        <w:r>
          <w:rPr>
            <w:rFonts w:ascii="仿宋_GB2312" w:eastAsia="仿宋_GB2312"/>
            <w:sz w:val="32"/>
            <w:color w:val="0563C1"/>
            <w:u w:val="single"/>
          </w:rPr>
          <w:t>https://www.ahnews.com.cn/yaowen1/pc/con/2026-09/14/496_1798574.html</w:t>
        </w:r>
      </w:hyperlink>
    </w:p>
    <w:p>
      <w:pPr>
        <w:spacing w:line="560" w:lineRule="exact"/>
      </w:pPr>
      <w:r>
        <w:rPr>
          <w:rFonts w:ascii="黑体" w:hAnsi="黑体" w:eastAsia="黑体"/>
          <w:b/>
          <w:sz w:val="32"/>
        </w:rPr>
        <w:t>4. 聚链成势，按下目标冲刺"加速键"</w:t>
      </w:r>
    </w:p>
    <w:p>
      <w:pPr>
        <w:spacing w:line="560" w:lineRule="exact"/>
        <w:ind w:firstLine="640"/>
      </w:pPr>
      <w:r>
        <w:rPr>
          <w:rFonts w:ascii="仿宋_GB2312" w:hAnsi="仿宋_GB2312" w:eastAsia="仿宋_GB2312"/>
          <w:b w:val="0"/>
          <w:sz w:val="32"/>
        </w:rPr>
        <w:t>四川日报报道：南充市嘉陵区锚定"全年汽车汽配产业总产值突破120亿元"目标，以延链、补链、强链推动汽车汽配产业集群提质扩容。一是精准招商补链：针对新能源汽车"三电"核心部件长期依赖外地采购的短板，引进浙江远程智芯科技公司年产20万套电驱动总成项目，直接落地在吉利四川商用车二期项目现有厂房内，产品出厂即可"门对门"配套，项目投产后南充新能源商用车本地配套率将由50%提升至60%，最快2027年一季度投产，年产值预计达15亿元。目前全区集聚汽车汽配规上企业18家、规下配套企业34家。二是监督护航营商：嘉陵区纪委监委将优化营商环境作为政治监督重要内容，由监督检查室、派驻纪检监察组、地方纪委监委三部门联动，组建纪检监察机关与区发展改革局、区审计局等部门协同的监督专班，深入项目审批、要素保障、资金拨付等关键环节为企业纾困。三是设立"企业宁静日"：南充市要求任何部门每月1至20号原则上不得自行组织到企业开展检查、调研工作，推动"随叫随到、无事不扰"服务模式落地。四是强化要素保障：《南充市聚焦要素保障优化营商环境若干措施》正式发布，14条举措以"控成本"为核心、以"优生态"为重点，围绕用地、金融服务、用能、物流、用工等方面破解要素保障瓶颈。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（信息来源：四川日报 2026年9月14日）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原文标题及链接：聚链成势，按下目标冲刺"加速键"</w:t>
      </w:r>
    </w:p>
    <w:p>
      <w:pPr>
        <w:spacing w:line="560" w:lineRule="exact"/>
      </w:pPr>
      <w:hyperlink r:id="rId12">
        <w:r>
          <w:rPr>
            <w:rFonts w:ascii="仿宋_GB2312" w:eastAsia="仿宋_GB2312"/>
            <w:sz w:val="32"/>
            <w:color w:val="0563C1"/>
            <w:u w:val="single"/>
          </w:rPr>
          <w:t>https://epaper.scdaily.cn/shtml/scrb/20260914/1089548.html</w:t>
        </w:r>
      </w:hyperlink>
    </w:p>
    <w:p>
      <w:pPr>
        <w:spacing w:line="560" w:lineRule="exact"/>
      </w:pPr>
      <w:r>
        <w:rPr>
          <w:rFonts w:ascii="黑体" w:hAnsi="黑体" w:eastAsia="黑体"/>
          <w:b/>
          <w:sz w:val="32"/>
        </w:rPr>
        <w:t>5. "十五五"时期 四川该怎么更好融入全国统一大市场？</w:t>
      </w:r>
    </w:p>
    <w:p>
      <w:pPr>
        <w:spacing w:line="560" w:lineRule="exact"/>
        <w:ind w:firstLine="640"/>
      </w:pPr>
      <w:r>
        <w:rPr>
          <w:rFonts w:ascii="仿宋_GB2312" w:hAnsi="仿宋_GB2312" w:eastAsia="仿宋_GB2312"/>
          <w:b w:val="0"/>
          <w:sz w:val="32"/>
        </w:rPr>
        <w:t>四川日报刊文梳理四川融入全国统一大市场的改革路径。制度与要素领域的具体做法包括：一是完善市场基础制度，出台《四川省社会信用条例》，构建产权保护、市场准入、公平竞争、社会信用四大基础性制度省级框架，推行异地同标改革，实现川渝营业执照异地互办互发，落地"信易贷""信用代证"。二是深化要素市场化改革，19个试点县累计入市农村集体经营性建设用地133宗、1591亩；出台全国首个省级专业性人力资源市场建设指导文件，357项高频民生事项实现川渝异地通办；深化天府（四川）联合股权交易中心改革，实施"融雪行动"；在国家电网经营区内率先完成电力交易机构股份制改造，实现川渝电力余缺互济；设立全国首个省级水权交易服务中心。三是构建现代流通体系，2025年中欧班列（成渝）开行量超5000列，品牌整合以来累计开行超2.6万列。四是迭代市场监管体系，落实"首违免罚""轻微不罚"容错机制，将招投标、政府采购、招商引资作为公平竞争审查重点。五是推进川渝市场一体化，"川渝通办"持续扩容，医疗检查检验互认301项，川渝高竹新区探索形成经济区与行政区适度分离100余项改革创新成果。针对地方保护、要素错配、流通短板等堵点，文章提出：引入省级第三方常态化评估公平竞争审查并纳入绩效考核，建立重大招商项目省级提级报备审查，搭建建设用地指标线上交易平台，推动职称跨市域互认，推广多式联运"一单制""一箱制"，出台全省统一处罚裁量细则整治同案不同罚。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（信息来源：四川日报 2026年9月14日）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原文标题及链接："十五五"时期 四川该怎么更好融入全国统一大市场？</w:t>
      </w:r>
    </w:p>
    <w:p>
      <w:pPr>
        <w:spacing w:line="560" w:lineRule="exact"/>
      </w:pPr>
      <w:hyperlink r:id="rId13">
        <w:r>
          <w:rPr>
            <w:rFonts w:ascii="仿宋_GB2312" w:eastAsia="仿宋_GB2312"/>
            <w:sz w:val="32"/>
            <w:color w:val="0563C1"/>
            <w:u w:val="single"/>
          </w:rPr>
          <w:t>https://epaper.scdaily.cn/shtml/scrb/20260914/1089556.html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jxrb.jxwmw.cn/system/2026/09/14/031243574.shtml" TargetMode="External"/><Relationship Id="rId10" Type="http://schemas.openxmlformats.org/officeDocument/2006/relationships/hyperlink" Target="https://jndsb.jxnews.com.cn/system/2026/09/14/031243619.shtml" TargetMode="External"/><Relationship Id="rId11" Type="http://schemas.openxmlformats.org/officeDocument/2006/relationships/hyperlink" Target="https://www.ahnews.com.cn/yaowen1/pc/con/2026-09/14/496_1798574.html" TargetMode="External"/><Relationship Id="rId12" Type="http://schemas.openxmlformats.org/officeDocument/2006/relationships/hyperlink" Target="https://epaper.scdaily.cn/shtml/scrb/20260914/1089548.html" TargetMode="External"/><Relationship Id="rId13" Type="http://schemas.openxmlformats.org/officeDocument/2006/relationships/hyperlink" Target="https://epaper.scdaily.cn/shtml/scrb/20260914/1089556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