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120"/>
        <w:jc w:val="center"/>
      </w:pPr>
      <w:r>
        <w:rPr>
          <w:rFonts w:ascii="黑体" w:hAnsi="黑体" w:eastAsia="黑体"/>
          <w:b/>
          <w:sz w:val="44"/>
        </w:rPr>
        <w:t>媒体信息摘报</w:t>
      </w:r>
    </w:p>
    <w:p>
      <w:pPr>
        <w:spacing w:lineRule="exact" w:line="560" w:after="240"/>
        <w:jc w:val="center"/>
      </w:pPr>
      <w:r>
        <w:rPr>
          <w:rFonts w:ascii="仿宋_GB2312" w:hAnsi="仿宋_GB2312" w:eastAsia="仿宋_GB2312"/>
          <w:sz w:val="24"/>
        </w:rPr>
        <w:t>（省级党报创新举措精选·福建省除外）</w:t>
      </w:r>
    </w:p>
    <w:p>
      <w:pPr>
        <w:spacing w:lineRule="exact" w:line="560" w:after="240"/>
        <w:jc w:val="center"/>
      </w:pPr>
      <w:r>
        <w:rPr>
          <w:rFonts w:ascii="仿宋_GB2312" w:hAnsi="仿宋_GB2312" w:eastAsia="仿宋_GB2312"/>
          <w:sz w:val="24"/>
        </w:rPr>
        <w:t>2026年8月19日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一、激活县域消费，不妨先把“大集”办好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大众日报聚焦县域消费，结合商务部等9部门关于深化“千集万店”改造提升、支持乡镇特色大集建设升级的意见，提出把群众本来愿意去的大集办得更好，激活下沉市场消费活力。当前县乡消费重要性持续上升，上半年全国县乡消费品零售额占社会消费品零售总额39.2%，农村网络零售额同比增长7.1%。一是补齐基础设施短板。政策明确加快存量商业设施更新，优先解决停车、排水、公厕、消防、食品储存等“好不好逛、方不方便买”的硬件问题，避免统一招牌、重做门头，防止乡土集市沦为千篇一律商业街。二是做足“本地货”特色。大集核心优势在于外地难买的农产品、地方小吃、老字号和手工作坊。山东夏季“黄河大集”在邹平设置非遗、中医养生、田园丰收、特色美食等九类市集，上万种商品参展，探索“线下体验+直播引流+线上销售”模式，助村镇小生产者进入更大市场。三是坚持常态经营长效化。大集不能只办成节庆活动，须保留卖菜、修鞋、糕点、农具等日常交易功能，并与餐饮、养老、家政、非遗体验等新业态共存。泊里大集设置便民服务点，现场办理老年人优待证、社保查询，并补建公厕，推动商业、服务、公共设施围绕高频人流节点集聚，使大集向乡镇生活服务中心转型。</w:t>
      </w:r>
    </w:p>
    <w:p>
      <w:pPr>
        <w:spacing w:lineRule="exact" w:line="560" w:after="200"/>
      </w:pPr>
      <w:r>
        <w:rPr>
          <w:rFonts w:ascii="仿宋_GB2312" w:hAnsi="仿宋_GB2312" w:eastAsia="仿宋_GB2312"/>
          <w:sz w:val="32"/>
        </w:rPr>
        <w:t>（信息来源：大众日报8月19日《激活县域消费，不妨先把“大集”办好》  https://news.qq.com/rain/a/20260819A02VVH00?adChannelId=sdjining）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二、从实验室出发 奔赴产业“高速路”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天津以“两高五化”推进海河实验室体系建设，推动科研成果从试验台走向生产线。一是构建“两高五化”发展脉络。7家海河实验室扎根生物医药、信创算力、脑机交互、绿色新能源等前沿赛道，按“高位推动、高度自主，科研目标化、成果产业化、用人灵活化、投资多元化、运行市场化”机制运行，成为天津特色实验室体系核心支撑。二是建强公共转化平台。滨海高新区公共智算调推服务中心启用，320PFlops异构算力整装就位，搭建覆盖算力、大模型、智能体的全链条服务体系；细胞生态海河实验室获批北方首个省级区域细胞制备中心，打通基础研究、中试到临床应用完整链路；多家实验室建设博士后创新基地，支持青年人才挑大梁、给予国家级人才推荐指标，破解职称评定与奖项申报堵点。三是强化顶层目标牵引与孵化落地。天津推动各实验室编制“十五五”规划，明确产出不少于60项关键性原创成果、研制创新药物及医疗器械超30个；依托天开高教科创园，海河实验室集群累计孵化、引进107家科创企业，其中26家落户天开园，物质绿色创造与制造实验室累计孵化引进36家企业。</w:t>
      </w:r>
    </w:p>
    <w:p>
      <w:pPr>
        <w:spacing w:lineRule="exact" w:line="560" w:after="200"/>
      </w:pPr>
      <w:r>
        <w:rPr>
          <w:rFonts w:ascii="仿宋_GB2312" w:hAnsi="仿宋_GB2312" w:eastAsia="仿宋_GB2312"/>
          <w:sz w:val="32"/>
        </w:rPr>
        <w:t>（信息来源：天津日报8月19日《从实验室出发 奔赴产业“高速路”》  https://epaper.tianjinwe.com/tjrb/html/2026-08/19/content_143078_3752644.htm）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三、产业抱团闯世界，建湖农机耕全球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江苏建湖以60年农机产业积淀，推动企业从单打独斗走向产业集群抱团出海，2026农业装备产业发展大会首次落地县级城市建湖。一是筑牢“搬不走”的产业根基。全县集聚上下游企业200多家，覆盖耕、种、管、收、施全流程，农机装备产业规模达60亿元，创成省级中小企业特色产业集群，全国耕整作业装备市场占有率达16%；培育3家国家级专精特新“小巨人”企业、25家省级专精特新中小企业、4家省先进级智能工厂。二是以科技创新迈向价值链高端。企业联合高校开发钎焊镍涂层刀片使耐用度提升3倍，搭载北斗导航电控系统实现等深精量播种；全县将年度主营业务收入7%投入研发，开展智能化改造，自动化率达80%；今年3月县委主要领导带队赴江苏大学探索“人工智能+农机装备”产学研合作。三是建强跨境电商一站式出海服务。2024年建湖盘活闲置楼宇建设跨境电商产业园，打造“跨境电商+农机装备”产业带，已吸引13家企业入驻，提供展销推广、报关退税、人才培育及法律咨询一站式服务，累计接待外商320人次；今年4月成立县农业机械协会，推动行业抱团发展、合作共赢。</w:t>
      </w:r>
    </w:p>
    <w:p>
      <w:pPr>
        <w:spacing w:lineRule="exact" w:line="560" w:after="200"/>
      </w:pPr>
      <w:r>
        <w:rPr>
          <w:rFonts w:ascii="仿宋_GB2312" w:hAnsi="仿宋_GB2312" w:eastAsia="仿宋_GB2312"/>
          <w:sz w:val="32"/>
        </w:rPr>
        <w:t>（信息来源：新华日报8月19日《产业抱团闯世界，建湖农机耕全球》  https://xh.xhby.net/pc/con/202608/19/content_1582241.html）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四、一个县级市的“人才方法论”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宜兴以“五链融合”系统构建县域人才方法论，从“院士之乡”迈向“青年之城”。一是以千年文脉与产业硬支撑构筑引力场。宜兴走出35位两院院士、万余名教授，依托20家上市公司、74家国家级专精特新“小巨人”企业，构建创新链、产业链、人才链、技术链、教育链深度融合的硬支撑；2026年教育部“百所高校学子地方行”全国仅两个县级举办地之一落子宜兴，220所高校500余名青年参会。二是以有力政策破解县域引才成本劣势。今年6月出台人才购房新政，博士最高获40万元补贴且可抵扣首付款，配套“驿站免费住+公寓优惠租”；“陶都英才”项目最高给予5000万元资金支持，覆盖就业到创业全周期。三是搭建校地系统共生平台激活“校友圈”。太湖湾国际精英创新创业大赛连续举办7年，累计吸引全球4000余个科创项目；建成63个高校人才工作站，与300余所高校常态化对接，每年新增产学研合作超200项，设立科创飞地12处；“氿子兴宜”工程以乡情为纽带，17个高校校友组织参与，国合基地累计投资孵化企业32家、培育服务72家。</w:t>
      </w:r>
    </w:p>
    <w:p>
      <w:pPr>
        <w:spacing w:lineRule="exact" w:line="560" w:after="200"/>
      </w:pPr>
      <w:r>
        <w:rPr>
          <w:rFonts w:ascii="仿宋_GB2312" w:hAnsi="仿宋_GB2312" w:eastAsia="仿宋_GB2312"/>
          <w:sz w:val="32"/>
        </w:rPr>
        <w:t>（信息来源：新华日报8月19日《一个县级市的“人才方法论”》  https://xh.xhby.net/pc/con/202608/19/content_1582242.html）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五、资产增幅超50%，中山市属国企战略重组4年盘点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中山以“4+N”战略性重组系统重塑市属国资，推动国企从城市基建商转向产业助推器。一是按功能定位合并同类项。2022年启动重组，打破“5家市属集团+4家专业公司”格局，重组形成公用、投控、城建、兴中、翠亨五大核心平台；原城建与交通集团合并组建新城建集团，原中汇与中山金控合并组建投控集团；国资委建立主业清单管理，各企业主业严格限定3个以内。二是推行市场化选人用人与刚性兑现。全市国企中层以上岗位竞聘上岗比例超50%，职业经理人制度覆盖率近60%，外部董事占比过半；绩效薪酬浮动占比超六成，2023至2024年累计约700人实施待岗、调岗或降薪，中层干部年淘汰率15%，刚性执行末等调整和不胜任退出。三是“以投带引”嵌入招商引资。投控集团构建“1+4+N”母基金体系，将股权投资嵌入招商，领投企业并推动产业化基地落子，已招引落地超30个项目；城建集团参与“工改”与交通运营，公用集团整合13家供水资产承担约94%供水任务、污水收集率升至85%以上；健全党委核心“业务、合规、纪检”三重防控，合规审查作为强制性前置环节。</w:t>
      </w:r>
    </w:p>
    <w:p>
      <w:pPr>
        <w:spacing w:lineRule="exact" w:line="560" w:after="200"/>
      </w:pPr>
      <w:r>
        <w:rPr>
          <w:rFonts w:ascii="仿宋_GB2312" w:hAnsi="仿宋_GB2312" w:eastAsia="仿宋_GB2312"/>
          <w:sz w:val="32"/>
        </w:rPr>
        <w:t>（信息来源：南方日报8月19日《资产增幅超50%，中山市属国企战略重组4年盘点》  https://static.nfnews.com/content/202608/19/c12734285.html）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/>
    </w:pPr>
    <w:rPr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