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before="0" w:after="0"/>
        <w:jc w:val="center"/>
      </w:pPr>
      <w:r>
        <w:rPr>
          <w:rFonts w:ascii="黑体" w:hAnsi="黑体" w:eastAsia="黑体"/>
          <w:b/>
          <w:sz w:val="32"/>
        </w:rPr>
        <w:t>媒体信息摘报</w:t>
      </w:r>
    </w:p>
    <w:p>
      <w:pPr>
        <w:spacing w:lineRule="exact" w:line="560" w:before="0" w:after="0"/>
        <w:jc w:val="center"/>
      </w:pPr>
      <w:r>
        <w:rPr>
          <w:rFonts w:ascii="仿宋_GB2312" w:hAnsi="仿宋_GB2312" w:eastAsia="仿宋_GB2312"/>
          <w:b w:val="0"/>
          <w:sz w:val="32"/>
        </w:rPr>
        <w:t>2026年9月21日 星期一</w:t>
      </w:r>
    </w:p>
    <w:p>
      <w:pPr>
        <w:spacing w:lineRule="exact" w:line="560" w:before="0" w:after="0"/>
      </w:pPr>
    </w:p>
    <w:p>
      <w:pPr>
        <w:spacing w:lineRule="exact" w:line="560" w:before="0" w:after="0"/>
      </w:pPr>
      <w:r>
        <w:rPr>
          <w:rFonts w:ascii="黑体" w:hAnsi="黑体" w:eastAsia="黑体"/>
          <w:b/>
          <w:sz w:val="32"/>
        </w:rPr>
        <w:t>1．未来五年促就业 重点抓好三件事</w:t>
      </w:r>
    </w:p>
    <w:p>
      <w:pPr>
        <w:spacing w:lineRule="exact" w:line="560" w:before="0" w:after="0"/>
        <w:ind w:firstLine="640"/>
      </w:pPr>
      <w:r>
        <w:rPr>
          <w:rFonts w:ascii="仿宋_GB2312" w:hAnsi="仿宋_GB2312" w:eastAsia="仿宋_GB2312"/>
          <w:b w:val="0"/>
          <w:sz w:val="32"/>
        </w:rPr>
        <w:t>四川省政府印发《四川省就业促进“十五五”规划》，明确“十五五”时期城镇新增就业累计425万人以上、城镇调查失业率控制在5.5%左右。</w:t>
      </w:r>
    </w:p>
    <w:p>
      <w:pPr>
        <w:spacing w:lineRule="exact" w:line="560" w:before="0" w:after="0"/>
        <w:ind w:firstLine="640"/>
      </w:pPr>
      <w:r>
        <w:rPr>
          <w:rFonts w:ascii="仿宋_GB2312" w:hAnsi="仿宋_GB2312" w:eastAsia="仿宋_GB2312"/>
          <w:b w:val="0"/>
          <w:sz w:val="32"/>
        </w:rPr>
        <w:t>一是明确“六个更加”目标方向，即就业机会更加充分、就业环境更加公平、就业结构更加优化、人岗匹配更加高效、劳动关系更加和谐、风险应对更加有力；13项主要指标中质量型指标占比76.9%。</w:t>
      </w:r>
    </w:p>
    <w:p>
      <w:pPr>
        <w:spacing w:lineRule="exact" w:line="560" w:before="0" w:after="0"/>
        <w:ind w:firstLine="640"/>
      </w:pPr>
      <w:r>
        <w:rPr>
          <w:rFonts w:ascii="仿宋_GB2312" w:hAnsi="仿宋_GB2312" w:eastAsia="仿宋_GB2312"/>
          <w:b w:val="0"/>
          <w:sz w:val="32"/>
        </w:rPr>
        <w:t>二是抓好产业扩岗、企业稳岗、创业拓岗三件事。以产业新赛道催生职业新赛道，带动数据标注员、人工智能训练师等新职业新工种发展；在招商引资、项目落地环节把岗位产出作为重要评价维度；传统产业“智改数转”不搞简单机器换人。</w:t>
      </w:r>
    </w:p>
    <w:p>
      <w:pPr>
        <w:spacing w:lineRule="exact" w:line="560" w:before="0" w:after="0"/>
        <w:ind w:firstLine="640"/>
      </w:pPr>
      <w:r>
        <w:rPr>
          <w:rFonts w:ascii="仿宋_GB2312" w:hAnsi="仿宋_GB2312" w:eastAsia="仿宋_GB2312"/>
          <w:b w:val="0"/>
          <w:sz w:val="32"/>
        </w:rPr>
        <w:t>三是支持民营经济稳岗扩岗。推行用地审批数智化改革，重大项目随到随审、力争审批再提速15%，推动工商业用户电价、用气成本进一步下降；实施“创业陪跑”行动，从项目孵化、融资贷款、场地支持到政策辅导全程服务。</w:t>
      </w:r>
    </w:p>
    <w:p>
      <w:pPr>
        <w:spacing w:lineRule="exact" w:line="560" w:before="0" w:after="0"/>
        <w:ind w:firstLine="640"/>
      </w:pPr>
      <w:r>
        <w:rPr>
          <w:rFonts w:ascii="仿宋_GB2312" w:hAnsi="仿宋_GB2312" w:eastAsia="仿宋_GB2312"/>
          <w:b w:val="0"/>
          <w:sz w:val="32"/>
        </w:rPr>
        <w:t>四是畅通技能培训与就业服务堵点。打造100个适配产业发展需求的技工特色专业点，将青年、农民工等重点群体纳入技工院校招生范围；五年完成不少于200万人次职业技能培训，今年完成50万人次；今明两年布局1000个左右“家门口”就业服务站，构建“15分钟就业服务圈”。</w:t>
      </w:r>
    </w:p>
    <w:p>
      <w:pPr>
        <w:spacing w:lineRule="exact" w:line="560" w:before="0" w:after="0"/>
        <w:ind w:firstLine="640"/>
      </w:pPr>
      <w:r>
        <w:rPr>
          <w:rFonts w:ascii="仿宋_GB2312" w:hAnsi="仿宋_GB2312" w:eastAsia="仿宋_GB2312"/>
          <w:b w:val="0"/>
          <w:sz w:val="32"/>
        </w:rPr>
        <w:t>五是强化重点群体就业帮扶。常态化实施“志智双扶”行动，全年开展针对性就业技能培训1300场次、覆盖帮扶对象2.5万人以上，力争训后就业转化率达52%以上。</w:t>
      </w:r>
    </w:p>
    <w:p>
      <w:pPr>
        <w:spacing w:lineRule="exact" w:line="560" w:before="0" w:after="0"/>
        <w:ind w:firstLine="640"/>
      </w:pPr>
      <w:r>
        <w:rPr>
          <w:rFonts w:ascii="仿宋_GB2312" w:hAnsi="仿宋_GB2312" w:eastAsia="仿宋_GB2312"/>
          <w:b w:val="0"/>
          <w:sz w:val="32"/>
        </w:rPr>
        <w:t>（信息来源：四川日报 2026年9月21日）</w:t>
      </w:r>
    </w:p>
    <w:p>
      <w:pPr>
        <w:spacing w:lineRule="exact" w:line="560" w:before="0" w:after="0"/>
        <w:ind w:firstLine="640"/>
      </w:pPr>
      <w:r>
        <w:rPr>
          <w:rFonts w:ascii="仿宋_GB2312" w:hAnsi="仿宋_GB2312" w:eastAsia="仿宋_GB2312"/>
          <w:b w:val="0"/>
          <w:sz w:val="32"/>
        </w:rPr>
        <w:t>原文标题及链接：未来五年促就业 重点抓好三件事</w:t>
      </w:r>
    </w:p>
    <w:p>
      <w:pPr>
        <w:spacing w:lineRule="exact" w:line="560" w:before="0" w:after="0"/>
        <w:ind w:firstLine="640"/>
      </w:pPr>
      <w:hyperlink r:id="rId9">
        <w:r>
          <w:rPr>
            <w:rFonts w:eastAsia="仿宋_GB2312" w:ascii="仿宋_GB2312" w:hAnsi="仿宋_GB2312"/>
            <w:sz w:val="32"/>
            <w:color w:val="0563C1"/>
            <w:u w:val="single"/>
          </w:rPr>
          <w:t xml:space="preserve">https://epaper.scdaily.cn/shtml/scrb/20260921/1090271.html</w:t>
        </w:r>
      </w:hyperlink>
    </w:p>
    <w:p>
      <w:pPr>
        <w:spacing w:lineRule="exact" w:line="560" w:before="0" w:after="0"/>
      </w:pPr>
    </w:p>
    <w:p>
      <w:pPr>
        <w:spacing w:lineRule="exact" w:line="560" w:before="0" w:after="0"/>
      </w:pPr>
      <w:r>
        <w:rPr>
          <w:rFonts w:ascii="黑体" w:hAnsi="黑体" w:eastAsia="黑体"/>
          <w:b/>
          <w:sz w:val="32"/>
        </w:rPr>
        <w:t>2．北京“十五五”时期优化营商环境规划发布 29项举措打造国际一流“北京服务”</w:t>
      </w:r>
    </w:p>
    <w:p>
      <w:pPr>
        <w:spacing w:lineRule="exact" w:line="560" w:before="0" w:after="0"/>
        <w:ind w:firstLine="640"/>
      </w:pPr>
      <w:r>
        <w:rPr>
          <w:rFonts w:ascii="仿宋_GB2312" w:hAnsi="仿宋_GB2312" w:eastAsia="仿宋_GB2312"/>
          <w:b w:val="0"/>
          <w:sz w:val="32"/>
        </w:rPr>
        <w:t>北京市发布《北京市“十五五”时期优化营商环境规划》，围绕市场、法治、政务、投资贸易、人文、京津冀协同六大环境提出29个方面改革举措，明确到2030年营商环境整体水平位居全球前列，到2035年成为全球标杆。</w:t>
      </w:r>
    </w:p>
    <w:p>
      <w:pPr>
        <w:spacing w:lineRule="exact" w:line="560" w:before="0" w:after="0"/>
        <w:ind w:firstLine="640"/>
      </w:pPr>
      <w:r>
        <w:rPr>
          <w:rFonts w:ascii="仿宋_GB2312" w:hAnsi="仿宋_GB2312" w:eastAsia="仿宋_GB2312"/>
          <w:b w:val="0"/>
          <w:sz w:val="32"/>
        </w:rPr>
        <w:t>一是维护市场公平竞争。完善各类经营主体公平参与市场竞争相关制度，整治和防范“内卷式”竞争，加大支持中小企业公平参与招投标力度，推行合作创新采购模式、全面落实异常低价审查机制；深化“准入即准营”改革；推动公平竞争地方立法，严格开展公平竞争审查抽查，每年抽查政策措施500件。</w:t>
      </w:r>
    </w:p>
    <w:p>
      <w:pPr>
        <w:spacing w:lineRule="exact" w:line="560" w:before="0" w:after="0"/>
        <w:ind w:firstLine="640"/>
      </w:pPr>
      <w:r>
        <w:rPr>
          <w:rFonts w:ascii="仿宋_GB2312" w:hAnsi="仿宋_GB2312" w:eastAsia="仿宋_GB2312"/>
          <w:b w:val="0"/>
          <w:sz w:val="32"/>
        </w:rPr>
        <w:t>二是完善监管与法治服务。强化“扫码检查”全覆盖，推进人工智能大模型等前沿技术在非现场监管领域应用，持续完善“无事不扰”企业清单；推行“预约式”服务，变“事后处罚”为“事前体检”；同步发布《北京市企业破产事务办理一本通》及口袋书，聚焦上市公司重整、中小微企业破产、跨境破产等高频领域提供指引。</w:t>
      </w:r>
    </w:p>
    <w:p>
      <w:pPr>
        <w:spacing w:lineRule="exact" w:line="560" w:before="0" w:after="0"/>
        <w:ind w:firstLine="640"/>
      </w:pPr>
      <w:r>
        <w:rPr>
          <w:rFonts w:ascii="仿宋_GB2312" w:hAnsi="仿宋_GB2312" w:eastAsia="仿宋_GB2312"/>
          <w:b w:val="0"/>
          <w:sz w:val="32"/>
        </w:rPr>
        <w:t>三是提升政务服务效能。纵深推进“一件事”集成改革，全面推行“清单之外无审批”，持续迭代“京京”政务服务智能体，推动申请材料“应免尽免”；推进京津冀“同事同标”和行政许可结果互认。</w:t>
      </w:r>
    </w:p>
    <w:p>
      <w:pPr>
        <w:spacing w:lineRule="exact" w:line="560" w:before="0" w:after="0"/>
        <w:ind w:firstLine="640"/>
      </w:pPr>
      <w:r>
        <w:rPr>
          <w:rFonts w:ascii="仿宋_GB2312" w:hAnsi="仿宋_GB2312" w:eastAsia="仿宋_GB2312"/>
          <w:b w:val="0"/>
          <w:sz w:val="32"/>
        </w:rPr>
        <w:t>四是夯实要素保障与开放环境。打造青年“友好之城”，完善创业和安居保障体系；升级企业融资综合信用服务平台，企业可“一站式”对接全市30余家银行300多款金融产品；落实“准入又准营”，推动电信、医疗、金融等服务业更高水平开放。</w:t>
      </w:r>
    </w:p>
    <w:p>
      <w:pPr>
        <w:spacing w:lineRule="exact" w:line="560" w:before="0" w:after="0"/>
        <w:ind w:firstLine="640"/>
      </w:pPr>
      <w:r>
        <w:rPr>
          <w:rFonts w:ascii="仿宋_GB2312" w:hAnsi="仿宋_GB2312" w:eastAsia="仿宋_GB2312"/>
          <w:b w:val="0"/>
          <w:sz w:val="32"/>
        </w:rPr>
        <w:t>（信息来源：新京报 2026年9月21日）</w:t>
      </w:r>
    </w:p>
    <w:p>
      <w:pPr>
        <w:spacing w:lineRule="exact" w:line="560" w:before="0" w:after="0"/>
        <w:ind w:firstLine="640"/>
      </w:pPr>
      <w:r>
        <w:rPr>
          <w:rFonts w:ascii="仿宋_GB2312" w:hAnsi="仿宋_GB2312" w:eastAsia="仿宋_GB2312"/>
          <w:b w:val="0"/>
          <w:sz w:val="32"/>
        </w:rPr>
        <w:t>原文标题及链接：北京“十五五”时期优化营商环境规划发布 29项举措打造国际一流“北京服务”</w:t>
      </w:r>
    </w:p>
    <w:p>
      <w:pPr>
        <w:spacing w:lineRule="exact" w:line="560" w:before="0" w:after="0"/>
        <w:ind w:firstLine="640"/>
      </w:pPr>
      <w:hyperlink r:id="rId10">
        <w:r>
          <w:rPr>
            <w:rFonts w:eastAsia="仿宋_GB2312" w:ascii="仿宋_GB2312" w:hAnsi="仿宋_GB2312"/>
            <w:sz w:val="32"/>
            <w:color w:val="0563C1"/>
            <w:u w:val="single"/>
          </w:rPr>
          <w:t xml:space="preserve">https://beijing.qianlong.com/2026/0921/8730164.shtml</w:t>
        </w:r>
      </w:hyperlink>
    </w:p>
    <w:p>
      <w:pPr>
        <w:spacing w:lineRule="exact" w:line="560" w:before="0" w:after="0"/>
      </w:pPr>
    </w:p>
    <w:p>
      <w:pPr>
        <w:spacing w:lineRule="exact" w:line="560" w:before="0" w:after="0"/>
      </w:pPr>
      <w:r>
        <w:rPr>
          <w:rFonts w:ascii="黑体" w:hAnsi="黑体" w:eastAsia="黑体"/>
          <w:b/>
          <w:sz w:val="32"/>
        </w:rPr>
        <w:t>3．我省多地细则“无缝衔接”，当天可办</w:t>
      </w:r>
    </w:p>
    <w:p>
      <w:pPr>
        <w:spacing w:lineRule="exact" w:line="560" w:before="0" w:after="0"/>
        <w:ind w:firstLine="640"/>
      </w:pPr>
      <w:r>
        <w:rPr>
          <w:rFonts w:ascii="仿宋_GB2312" w:hAnsi="仿宋_GB2312" w:eastAsia="仿宋_GB2312"/>
          <w:b w:val="0"/>
          <w:sz w:val="32"/>
        </w:rPr>
        <w:t>新修订的《住房公积金管理条例》9月20日起施行，江苏大部分设区市同步发布落地细则，南京、无锡、盐城等地当天生效、当天可办。</w:t>
      </w:r>
    </w:p>
    <w:p>
      <w:pPr>
        <w:spacing w:lineRule="exact" w:line="560" w:before="0" w:after="0"/>
        <w:ind w:firstLine="640"/>
      </w:pPr>
      <w:r>
        <w:rPr>
          <w:rFonts w:ascii="仿宋_GB2312" w:hAnsi="仿宋_GB2312" w:eastAsia="仿宋_GB2312"/>
          <w:b w:val="0"/>
          <w:sz w:val="32"/>
        </w:rPr>
        <w:t>一是扩大提取范围。提取情形由6种拓展为9种，装修自住住房、支付自住住房物业费新增纳入提取范围。装修提取各市额度不一，总额上限从10万元到30万元不等：南通按每平方米2000元核定、单套最高28万元，为全省最高；盐城对新建商品住房、自建及翻建住房给出最高30万元额度；连云港、镇江、泰州、宿迁新建商品房均为20万元；南京、无锡为15万元。</w:t>
      </w:r>
    </w:p>
    <w:p>
      <w:pPr>
        <w:spacing w:lineRule="exact" w:line="560" w:before="0" w:after="0"/>
        <w:ind w:firstLine="640"/>
      </w:pPr>
      <w:r>
        <w:rPr>
          <w:rFonts w:ascii="仿宋_GB2312" w:hAnsi="仿宋_GB2312" w:eastAsia="仿宋_GB2312"/>
          <w:b w:val="0"/>
          <w:sz w:val="32"/>
        </w:rPr>
        <w:t>二是物业费提取“一城一策”。南京对能提供发票的申请人年度最高5000元、无法提供的1000元；无锡单缴存人家庭3000元、双缴存人家庭6000元；常州每套住房每年不超过3000元；连云港按建筑面积每平方米每月1.32元核定；扬州按每平方米每月3元定额提取。</w:t>
      </w:r>
    </w:p>
    <w:p>
      <w:pPr>
        <w:spacing w:lineRule="exact" w:line="560" w:before="0" w:after="0"/>
        <w:ind w:firstLine="640"/>
      </w:pPr>
      <w:r>
        <w:rPr>
          <w:rFonts w:ascii="仿宋_GB2312" w:hAnsi="仿宋_GB2312" w:eastAsia="仿宋_GB2312"/>
          <w:b w:val="0"/>
          <w:sz w:val="32"/>
        </w:rPr>
        <w:t>三是扩大制度覆盖面。个体工商户、非全日制从业人员及其他灵活就业人员可自愿缴存；截至目前，全省灵活就业人员累计开户148.9万人、实缴126.2万人、缴存额141.5亿元。</w:t>
      </w:r>
    </w:p>
    <w:p>
      <w:pPr>
        <w:spacing w:lineRule="exact" w:line="560" w:before="0" w:after="0"/>
        <w:ind w:firstLine="640"/>
      </w:pPr>
      <w:r>
        <w:rPr>
          <w:rFonts w:ascii="仿宋_GB2312" w:hAnsi="仿宋_GB2312" w:eastAsia="仿宋_GB2312"/>
          <w:b w:val="0"/>
          <w:sz w:val="32"/>
        </w:rPr>
        <w:t>四是部分城市在装修、物业费之外做“加法”。宿迁推出适居提质提取，局部维护、智能化、适老化改造及契税、维修资金等均可提取；盐城将独立产权车位（车库）购置款、购房契税和住宅专项维修资金纳入家庭共济提取，并将公积金贷款最长年限由30年延长至40年；扬州为生育0至3周岁婴幼儿家庭提供每名5000元适儿化改造提取。</w:t>
      </w:r>
    </w:p>
    <w:p>
      <w:pPr>
        <w:spacing w:lineRule="exact" w:line="560" w:before="0" w:after="0"/>
        <w:ind w:firstLine="640"/>
      </w:pPr>
      <w:r>
        <w:rPr>
          <w:rFonts w:ascii="仿宋_GB2312" w:hAnsi="仿宋_GB2312" w:eastAsia="仿宋_GB2312"/>
          <w:b w:val="0"/>
          <w:sz w:val="32"/>
        </w:rPr>
        <w:t>（信息来源：新华日报 2026年9月21日）</w:t>
      </w:r>
    </w:p>
    <w:p>
      <w:pPr>
        <w:spacing w:lineRule="exact" w:line="560" w:before="0" w:after="0"/>
        <w:ind w:firstLine="640"/>
      </w:pPr>
      <w:r>
        <w:rPr>
          <w:rFonts w:ascii="仿宋_GB2312" w:hAnsi="仿宋_GB2312" w:eastAsia="仿宋_GB2312"/>
          <w:b w:val="0"/>
          <w:sz w:val="32"/>
        </w:rPr>
        <w:t>原文标题及链接：我省多地细则“无缝衔接”，当天可办</w:t>
      </w:r>
    </w:p>
    <w:p>
      <w:pPr>
        <w:spacing w:lineRule="exact" w:line="560" w:before="0" w:after="0"/>
        <w:ind w:firstLine="640"/>
      </w:pPr>
      <w:hyperlink r:id="rId11">
        <w:r>
          <w:rPr>
            <w:rFonts w:eastAsia="仿宋_GB2312" w:ascii="仿宋_GB2312" w:hAnsi="仿宋_GB2312"/>
            <w:sz w:val="32"/>
            <w:color w:val="0563C1"/>
            <w:u w:val="single"/>
          </w:rPr>
          <w:t xml:space="preserve">https://finance.sina.com.cn/jjxw/2026-09-21/doc-inispiqq6274418.shtml</w:t>
        </w:r>
      </w:hyperlink>
    </w:p>
    <w:p>
      <w:pPr>
        <w:spacing w:lineRule="exact" w:line="560" w:before="0" w:after="0"/>
      </w:pPr>
    </w:p>
    <w:p>
      <w:pPr>
        <w:spacing w:lineRule="exact" w:line="560" w:before="0" w:after="0"/>
      </w:pPr>
      <w:r>
        <w:rPr>
          <w:rFonts w:ascii="黑体" w:hAnsi="黑体" w:eastAsia="黑体"/>
          <w:b/>
          <w:sz w:val="32"/>
        </w:rPr>
        <w:t>4．加快“人工智能+消费”发展 浙江定下6000亿元新目标</w:t>
      </w:r>
    </w:p>
    <w:p>
      <w:pPr>
        <w:spacing w:lineRule="exact" w:line="560" w:before="0" w:after="0"/>
        <w:ind w:firstLine="640"/>
      </w:pPr>
      <w:r>
        <w:rPr>
          <w:rFonts w:ascii="仿宋_GB2312" w:hAnsi="仿宋_GB2312" w:eastAsia="仿宋_GB2312"/>
          <w:b w:val="0"/>
          <w:sz w:val="32"/>
        </w:rPr>
        <w:t>9月20日，在2026浙江省新消费创新大赛资源对接会上，浙江省商务厅联合24个省级部门发布《关于加快“人工智能+消费”发展的若干措施》，提出到2030年全省消费领域规模以上人工智能核心产业营业收入超6000亿元。</w:t>
      </w:r>
    </w:p>
    <w:p>
      <w:pPr>
        <w:spacing w:lineRule="exact" w:line="560" w:before="0" w:after="0"/>
        <w:ind w:firstLine="640"/>
      </w:pPr>
      <w:r>
        <w:rPr>
          <w:rFonts w:ascii="仿宋_GB2312" w:hAnsi="仿宋_GB2312" w:eastAsia="仿宋_GB2312"/>
          <w:b w:val="0"/>
          <w:sz w:val="32"/>
        </w:rPr>
        <w:t>一是明确四大方向。推动“人工智能+商品消费”扩容升级，促进“人工智能+服务消费”提质惠民，拓展“人工智能+消费”平台场景，加强“人工智能+消费”要素和制度保障；到2030年培育一批消费领域具有全球竞争力和影响力的人工智能企业，建设一批“人工智能+消费”集聚区。</w:t>
      </w:r>
    </w:p>
    <w:p>
      <w:pPr>
        <w:spacing w:lineRule="exact" w:line="560" w:before="0" w:after="0"/>
        <w:ind w:firstLine="640"/>
      </w:pPr>
      <w:r>
        <w:rPr>
          <w:rFonts w:ascii="仿宋_GB2312" w:hAnsi="仿宋_GB2312" w:eastAsia="仿宋_GB2312"/>
          <w:b w:val="0"/>
          <w:sz w:val="32"/>
        </w:rPr>
        <w:t>二是强化金融赋能。工商银行浙江省分行同步发布赋能新消费创新行动方案，围绕科技金融、普惠金融、消费金融三大领域，以全周期一体化服务和场景化产品供给支持新消费业态发展，并为新消费大赛参赛企业提供200亿元意向性融资支持。</w:t>
      </w:r>
    </w:p>
    <w:p>
      <w:pPr>
        <w:spacing w:lineRule="exact" w:line="560" w:before="0" w:after="0"/>
        <w:ind w:firstLine="640"/>
      </w:pPr>
      <w:r>
        <w:rPr>
          <w:rFonts w:ascii="仿宋_GB2312" w:hAnsi="仿宋_GB2312" w:eastAsia="仿宋_GB2312"/>
          <w:b w:val="0"/>
          <w:sz w:val="32"/>
        </w:rPr>
        <w:t>三是赛事牵引培育主体。2026浙江省新消费创新大赛吸引全省近300家企业参与，分新业态、新模式、新场景三个赛道，60家企业分别获评新消费领航企业、成长企业、潜力企业。</w:t>
      </w:r>
    </w:p>
    <w:p>
      <w:pPr>
        <w:spacing w:lineRule="exact" w:line="560" w:before="0" w:after="0"/>
        <w:ind w:firstLine="640"/>
      </w:pPr>
      <w:r>
        <w:rPr>
          <w:rFonts w:ascii="仿宋_GB2312" w:hAnsi="仿宋_GB2312" w:eastAsia="仿宋_GB2312"/>
          <w:b w:val="0"/>
          <w:sz w:val="32"/>
        </w:rPr>
        <w:t>四是突出场景落地。获奖案例中，影视IP、AI眼镜等展现新业态，智慧零售、IP全域赋能直播电商等拓宽消费边界，大运河杭钢公园、西子廊桥等载体推动工业遗存、老街古巷、山野资源、城市商圈向消费新地标转型。</w:t>
      </w:r>
    </w:p>
    <w:p>
      <w:pPr>
        <w:spacing w:lineRule="exact" w:line="560" w:before="0" w:after="0"/>
        <w:ind w:firstLine="640"/>
      </w:pPr>
      <w:r>
        <w:rPr>
          <w:rFonts w:ascii="仿宋_GB2312" w:hAnsi="仿宋_GB2312" w:eastAsia="仿宋_GB2312"/>
          <w:b w:val="0"/>
          <w:sz w:val="32"/>
        </w:rPr>
        <w:t>（信息来源：杭州网 2026年9月21日）</w:t>
      </w:r>
    </w:p>
    <w:p>
      <w:pPr>
        <w:spacing w:lineRule="exact" w:line="560" w:before="0" w:after="0"/>
        <w:ind w:firstLine="640"/>
      </w:pPr>
      <w:r>
        <w:rPr>
          <w:rFonts w:ascii="仿宋_GB2312" w:hAnsi="仿宋_GB2312" w:eastAsia="仿宋_GB2312"/>
          <w:b w:val="0"/>
          <w:sz w:val="32"/>
        </w:rPr>
        <w:t>原文标题及链接：加快“人工智能+消费”发展 浙江定下6000亿元新目标</w:t>
      </w:r>
    </w:p>
    <w:p>
      <w:pPr>
        <w:spacing w:lineRule="exact" w:line="560" w:before="0" w:after="0"/>
        <w:ind w:firstLine="640"/>
      </w:pPr>
      <w:hyperlink r:id="rId12">
        <w:r>
          <w:rPr>
            <w:rFonts w:eastAsia="仿宋_GB2312" w:ascii="仿宋_GB2312" w:hAnsi="仿宋_GB2312"/>
            <w:sz w:val="32"/>
            <w:color w:val="0563C1"/>
            <w:u w:val="single"/>
          </w:rPr>
          <w:t xml:space="preserve">https://hznews.hangzhou.com.cn/chengshi/content/2026-09/21/content_9312381.htm</w:t>
        </w:r>
      </w:hyperlink>
    </w:p>
    <w:p>
      <w:pPr>
        <w:spacing w:lineRule="exact" w:line="560" w:before="0" w:after="0"/>
      </w:pPr>
    </w:p>
    <w:p>
      <w:pPr>
        <w:spacing w:lineRule="exact" w:line="560" w:before="0" w:after="0"/>
      </w:pPr>
      <w:r>
        <w:rPr>
          <w:rFonts w:ascii="黑体" w:hAnsi="黑体" w:eastAsia="黑体"/>
          <w:b/>
          <w:sz w:val="32"/>
        </w:rPr>
        <w:t>5．我省在全国历次产改考核中均获优秀</w:t>
      </w:r>
    </w:p>
    <w:p>
      <w:pPr>
        <w:spacing w:lineRule="exact" w:line="560" w:before="0" w:after="0"/>
        <w:ind w:firstLine="640"/>
      </w:pPr>
      <w:r>
        <w:rPr>
          <w:rFonts w:ascii="仿宋_GB2312" w:hAnsi="仿宋_GB2312" w:eastAsia="仿宋_GB2312"/>
          <w:b w:val="0"/>
          <w:sz w:val="32"/>
        </w:rPr>
        <w:t>广东省深化产业工人队伍建设改革暨产业工人特色实训路线建设工作现场推进会9月20日在广州召开，会上对《广东省推进产业工人队伍建设改革协调小组议事规则》和《广东省工匠人才培育管理办法》进行解读，并正式发布“一市一品”省级产业工人特色实训路线。</w:t>
      </w:r>
    </w:p>
    <w:p>
      <w:pPr>
        <w:spacing w:lineRule="exact" w:line="560" w:before="0" w:after="0"/>
        <w:ind w:firstLine="640"/>
      </w:pPr>
      <w:r>
        <w:rPr>
          <w:rFonts w:ascii="仿宋_GB2312" w:hAnsi="仿宋_GB2312" w:eastAsia="仿宋_GB2312"/>
          <w:b w:val="0"/>
          <w:sz w:val="32"/>
        </w:rPr>
        <w:t>一是出台全国首创政策。《广东省工匠人才培育管理办法》是全国首次由省级产改协调小组成员单位联合发布的工匠人才培育政策，推动工匠人才培育规范化、制度化。</w:t>
      </w:r>
    </w:p>
    <w:p>
      <w:pPr>
        <w:spacing w:lineRule="exact" w:line="560" w:before="0" w:after="0"/>
        <w:ind w:firstLine="640"/>
      </w:pPr>
      <w:r>
        <w:rPr>
          <w:rFonts w:ascii="仿宋_GB2312" w:hAnsi="仿宋_GB2312" w:eastAsia="仿宋_GB2312"/>
          <w:b w:val="0"/>
          <w:sz w:val="32"/>
        </w:rPr>
        <w:t>二是构建“1+30+60+N”培训体系，打造“职业院校+实训路线+工匠学院”三位一体布局，依托职业院校打牢技能基础、依靠实训路线实现理论与实操转化、通过工匠学院培育工匠人才，形成“院校筑基、实训转化、工匠拔高”的全链条培育模式。</w:t>
      </w:r>
    </w:p>
    <w:p>
      <w:pPr>
        <w:spacing w:lineRule="exact" w:line="560" w:before="0" w:after="0"/>
        <w:ind w:firstLine="640"/>
      </w:pPr>
      <w:r>
        <w:rPr>
          <w:rFonts w:ascii="仿宋_GB2312" w:hAnsi="仿宋_GB2312" w:eastAsia="仿宋_GB2312"/>
          <w:b w:val="0"/>
          <w:sz w:val="32"/>
        </w:rPr>
        <w:t>三是各地实训路线紧扣产业特色。广州的智能网联与新能源汽车特色实训路线串联广汽集团、时代广汽动力电池、华荻科技、巨大汽车音响4个点位，年实训1500人次以上；深圳联动华为、腾讯等链主企业，建设鸿蒙根技术全域数智工匠培育、AI+智能制造全流程工程实践两条省级实训路线，开展实战化技能教学。</w:t>
      </w:r>
    </w:p>
    <w:p>
      <w:pPr>
        <w:spacing w:lineRule="exact" w:line="560" w:before="0" w:after="0"/>
        <w:ind w:firstLine="640"/>
      </w:pPr>
      <w:r>
        <w:rPr>
          <w:rFonts w:ascii="仿宋_GB2312" w:hAnsi="仿宋_GB2312" w:eastAsia="仿宋_GB2312"/>
          <w:b w:val="0"/>
          <w:sz w:val="32"/>
        </w:rPr>
        <w:t>四是强化工匠人才培育。深入实施“南粤工匠”培育工程，遴选确定208名南粤工匠培育对象，联合中山大学、华南理工大学举办南粤工匠人才培训营，提升工匠人才综合素养。</w:t>
      </w:r>
    </w:p>
    <w:p>
      <w:pPr>
        <w:spacing w:lineRule="exact" w:line="560" w:before="0" w:after="0"/>
        <w:ind w:firstLine="640"/>
      </w:pPr>
      <w:r>
        <w:rPr>
          <w:rFonts w:ascii="仿宋_GB2312" w:hAnsi="仿宋_GB2312" w:eastAsia="仿宋_GB2312"/>
          <w:b w:val="0"/>
          <w:sz w:val="32"/>
        </w:rPr>
        <w:t>（信息来源：南方日报 2026年9月21日）</w:t>
      </w:r>
    </w:p>
    <w:p>
      <w:pPr>
        <w:spacing w:lineRule="exact" w:line="560" w:before="0" w:after="0"/>
        <w:ind w:firstLine="640"/>
      </w:pPr>
      <w:r>
        <w:rPr>
          <w:rFonts w:ascii="仿宋_GB2312" w:hAnsi="仿宋_GB2312" w:eastAsia="仿宋_GB2312"/>
          <w:b w:val="0"/>
          <w:sz w:val="32"/>
        </w:rPr>
        <w:t>原文标题及链接：我省在全国历次产改考核中均获优秀</w:t>
      </w:r>
    </w:p>
    <w:p>
      <w:pPr>
        <w:spacing w:lineRule="exact" w:line="560" w:before="0" w:after="0"/>
        <w:ind w:firstLine="640"/>
      </w:pPr>
      <w:hyperlink r:id="rId13">
        <w:r>
          <w:rPr>
            <w:rFonts w:eastAsia="仿宋_GB2312" w:ascii="仿宋_GB2312" w:hAnsi="仿宋_GB2312"/>
            <w:sz w:val="32"/>
            <w:color w:val="0563C1"/>
            <w:u w:val="single"/>
          </w:rPr>
          <w:t xml:space="preserve">https://k.sina.com.cn/article_7517400647_1c0126e47059099hzq.html</w:t>
        </w:r>
      </w:hyperlink>
    </w:p>
    <w:sectPr w:rsidR="00FC693F" w:rsidRPr="0006063C" w:rsidSect="00034616">
      <w:pgSz w:w="12240" w:h="15840"/>
      <w:pgMar w:top="2100" w:right="1480" w:bottom="1980" w:left="14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paper.scdaily.cn/shtml/scrb/20260921/1090271.html" TargetMode="External"/><Relationship Id="rId10" Type="http://schemas.openxmlformats.org/officeDocument/2006/relationships/hyperlink" Target="https://beijing.qianlong.com/2026/0921/8730164.shtml" TargetMode="External"/><Relationship Id="rId11" Type="http://schemas.openxmlformats.org/officeDocument/2006/relationships/hyperlink" Target="https://finance.sina.com.cn/jjxw/2026-09-21/doc-inispiqq6274418.shtml" TargetMode="External"/><Relationship Id="rId12" Type="http://schemas.openxmlformats.org/officeDocument/2006/relationships/hyperlink" Target="https://hznews.hangzhou.com.cn/chengshi/content/2026-09/21/content_9312381.htm" TargetMode="External"/><Relationship Id="rId13" Type="http://schemas.openxmlformats.org/officeDocument/2006/relationships/hyperlink" Target="https://k.sina.com.cn/article_7517400647_1c0126e47059099hzq.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