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560" w:lineRule="exact"/>
        <w:jc w:val="center"/>
      </w:pPr>
      <w:r>
        <w:rPr>
          <w:rFonts w:ascii="SimHei" w:cs="SimHei" w:eastAsia="SimHei" w:hAnsi="SimHei"/>
          <w:b/>
          <w:bCs/>
          <w:sz w:val="32"/>
          <w:szCs w:val="32"/>
        </w:rPr>
        <w:t xml:space="preserve">媒体信息摘报</w:t>
      </w:r>
    </w:p>
    <w:p>
      <w:pPr>
        <w:spacing w:after="240" w:line="560" w:lineRule="exact"/>
        <w:jc w:val="center"/>
      </w:pPr>
      <w:r>
        <w:rPr>
          <w:rFonts w:ascii="SimHei" w:cs="SimHei" w:eastAsia="SimHei" w:hAnsi="SimHei"/>
          <w:b/>
          <w:bCs/>
          <w:sz w:val="32"/>
          <w:szCs w:val="32"/>
        </w:rPr>
        <w:t xml:space="preserve">2026年6月5日</w:t>
      </w:r>
    </w:p>
    <w:p>
      <w:pPr>
        <w:spacing w:after="0" w:line="560" w:lineRule="exact"/>
        <w:ind w:firstLine="480"/>
      </w:pPr>
      <w:r>
        <w:rPr>
          <w:rFonts w:ascii="FangSong_GB2312" w:cs="FangSong_GB2312" w:eastAsia="FangSong_GB2312" w:hAnsi="FangSong_GB2312"/>
          <w:sz w:val="32"/>
          <w:szCs w:val="32"/>
        </w:rPr>
        <w:t xml:space="preserve">今日摘报聚焦5条省级党报创新举措，涵盖金融赋能智造、技能评价改革、重大工程建设、产业动能转换、机关资源共享等领域，供决策参考。</w:t>
      </w:r>
    </w:p>
    <w:p>
      <w:pPr>
        <w:spacing w:line="560" w:lineRule="exact"/>
      </w:pPr>
    </w:p>
    <w:p>
      <w:pPr>
        <w:spacing w:after="60" w:before="120" w:line="560" w:lineRule="exact"/>
      </w:pPr>
      <w:r>
        <w:rPr>
          <w:rFonts w:ascii="SimHei" w:cs="SimHei" w:eastAsia="SimHei" w:hAnsi="SimHei"/>
          <w:b/>
          <w:bCs/>
          <w:sz w:val="32"/>
          <w:szCs w:val="32"/>
        </w:rPr>
        <w:t xml:space="preserve">1．江苏首笔「智能工厂贷」落地镇江</w:t>
      </w:r>
    </w:p>
    <w:p>
      <w:pPr>
        <w:spacing w:after="0" w:line="560" w:lineRule="exact"/>
        <w:ind w:firstLine="480"/>
      </w:pPr>
      <w:r>
        <w:rPr>
          <w:rFonts w:ascii="FangSong_GB2312" w:cs="FangSong_GB2312" w:eastAsia="FangSong_GB2312" w:hAnsi="FangSong_GB2312"/>
          <w:sz w:val="32"/>
          <w:szCs w:val="32"/>
        </w:rPr>
        <w:t xml:space="preserve">江苏银行在镇江成功发放全省首笔「智能工厂贷」1000万元，为制造业智能化转型开辟了专属融资新通道。一是创新推出梯度化金融产品。今年5月，省工信厅联合江苏银行印发《「智能工厂贷」专项金融产品方案》，打造「梯度化、全周期、低利率」专属资金池，覆盖企业设备更新、软件购置到智能化技改全流程需求。根据企业智能工厂梯度等级实施差异化定价，先进级、卓越级、领航级对应不同利率优惠，使不同梯度企业均可「对号入座、精准获益」。二是首笔贷款精准匹配设备投资需求。授信金额1000万元、期限36个月，精准匹配设备投资回收节奏。实行受托支付、专项管理，定向用于十余家核心设备供应商货款支付，执行「钱跟着设备走、设备围着产线转」规则，助力企业打造高端化、智能化、绿色化现代工厂。三是叠加贴息政策降低融资成本。该产品为企业智能化产线改造配套贴息支持，缓解制造业企业在产能扩充与智能化升级关键窗口期面临的资金压力，实现政策引导与市场运作「同频共振」。</w:t>
      </w:r>
    </w:p>
    <w:p>
      <w:pPr>
        <w:spacing w:after="120" w:line="560" w:lineRule="exact"/>
        <w:ind w:firstLine="480"/>
      </w:pPr>
      <w:r>
        <w:rPr>
          <w:rFonts w:ascii="FangSong_GB2312" w:cs="FangSong_GB2312" w:eastAsia="FangSong_GB2312" w:hAnsi="FangSong_GB2312"/>
          <w:sz w:val="32"/>
          <w:szCs w:val="32"/>
        </w:rPr>
        <w:t xml:space="preserve">（信息来源：新华日报 6月5日 </w:t>
      </w:r>
      <w:hyperlink w:history="1" r:id="rIdc9un9neqyibnjfya24yc_">
        <w:r>
          <w:rPr>
            <w:rStyle w:val="Hyperlink"/>
            <w:rFonts w:ascii="FangSong_GB2312" w:cs="FangSong_GB2312" w:eastAsia="FangSong_GB2312" w:hAnsi="FangSong_GB2312"/>
            <w:sz w:val="32"/>
            <w:szCs w:val="32"/>
          </w:rPr>
          <w:t xml:space="preserve">https://xh.xhby.net/pc/con/202606/05/content_1561110.html</w:t>
        </w:r>
      </w:hyperlink>
      <w:r>
        <w:rPr>
          <w:rFonts w:ascii="FangSong_GB2312" w:cs="FangSong_GB2312" w:eastAsia="FangSong_GB2312" w:hAnsi="FangSong_GB2312"/>
          <w:sz w:val="32"/>
          <w:szCs w:val="32"/>
        </w:rPr>
        <w:t xml:space="preserve">）</w:t>
      </w:r>
    </w:p>
    <w:p>
      <w:pPr>
        <w:spacing w:line="560" w:lineRule="exact"/>
      </w:pPr>
    </w:p>
    <w:p>
      <w:pPr>
        <w:spacing w:after="60" w:before="120" w:line="560" w:lineRule="exact"/>
      </w:pPr>
      <w:r>
        <w:rPr>
          <w:rFonts w:ascii="SimHei" w:cs="SimHei" w:eastAsia="SimHei" w:hAnsi="SimHei"/>
          <w:b/>
          <w:bCs/>
          <w:sz w:val="32"/>
          <w:szCs w:val="32"/>
        </w:rPr>
        <w:t xml:space="preserve">2．江苏试行职业技能等级「全省统考」</w:t>
      </w:r>
    </w:p>
    <w:p>
      <w:pPr>
        <w:spacing w:after="0" w:line="560" w:lineRule="exact"/>
        <w:ind w:firstLine="480"/>
      </w:pPr>
      <w:r>
        <w:rPr>
          <w:rFonts w:ascii="FangSong_GB2312" w:cs="FangSong_GB2312" w:eastAsia="FangSong_GB2312" w:hAnsi="FangSong_GB2312"/>
          <w:sz w:val="32"/>
          <w:szCs w:val="32"/>
        </w:rPr>
        <w:t xml:space="preserve">江苏省决定今年起试点开展职业技能等级全省统一评价，首批涉及18个职业工种，着力破解技能证书跨市认可度低的难题。一是建立省级统一评价制度。省职业技能鉴定中心发布通知，明确从今年起在现代服务业、健康照护、社会管理等领域开展全省统一评价，首批目录涵盖企业人力资源管理师、劳动关系协调师、健康管理师、公共营养师等18个职业工种，由省人社厅会同省级行业主管部门确定11家评价机构具体实施，原则上全年组织不少于2次统考。二是全流程规范考务管理。各统一评价机构须在省市两级人社部门统筹指导下，规范开展报名、审核、考务、阅卷、发证等全流程工作，制定考务方案和应急预案。机构需严格履行资格审查主体责任，对审核不严、弄虚作假、违规操作的，将暂停工作并限期整改，逾期整改不到位的直接移出职业技能评价机构目录。三是鼓励市级拓展试点。各设区市结合本地实际，可在省级目录之外探索开展市级统一评价，成熟后经省鉴定中心同意向全省推广，形成「省级引领、市级补充、逐级推广」的技能评价新格局。</w:t>
      </w:r>
    </w:p>
    <w:p>
      <w:pPr>
        <w:spacing w:after="120" w:line="560" w:lineRule="exact"/>
        <w:ind w:firstLine="480"/>
      </w:pPr>
      <w:r>
        <w:rPr>
          <w:rFonts w:ascii="FangSong_GB2312" w:cs="FangSong_GB2312" w:eastAsia="FangSong_GB2312" w:hAnsi="FangSong_GB2312"/>
          <w:sz w:val="32"/>
          <w:szCs w:val="32"/>
        </w:rPr>
        <w:t xml:space="preserve">（信息来源：新华日报 6月5日 </w:t>
      </w:r>
      <w:hyperlink w:history="1" r:id="rIdqbbnrgsme7w06s5md6mcz">
        <w:r>
          <w:rPr>
            <w:rStyle w:val="Hyperlink"/>
            <w:rFonts w:ascii="FangSong_GB2312" w:cs="FangSong_GB2312" w:eastAsia="FangSong_GB2312" w:hAnsi="FangSong_GB2312"/>
            <w:sz w:val="32"/>
            <w:szCs w:val="32"/>
          </w:rPr>
          <w:t xml:space="preserve">https://xh.xhby.net/pc/con/202606/05/content_1561110.html</w:t>
        </w:r>
      </w:hyperlink>
      <w:r>
        <w:rPr>
          <w:rFonts w:ascii="FangSong_GB2312" w:cs="FangSong_GB2312" w:eastAsia="FangSong_GB2312" w:hAnsi="FangSong_GB2312"/>
          <w:sz w:val="32"/>
          <w:szCs w:val="32"/>
        </w:rPr>
        <w:t xml:space="preserve">）</w:t>
      </w:r>
    </w:p>
    <w:p>
      <w:pPr>
        <w:spacing w:line="560" w:lineRule="exact"/>
      </w:pPr>
    </w:p>
    <w:p>
      <w:pPr>
        <w:spacing w:after="60" w:before="120" w:line="560" w:lineRule="exact"/>
      </w:pPr>
      <w:r>
        <w:rPr>
          <w:rFonts w:ascii="SimHei" w:cs="SimHei" w:eastAsia="SimHei" w:hAnsi="SimHei"/>
          <w:b/>
          <w:bCs/>
          <w:sz w:val="32"/>
          <w:szCs w:val="32"/>
        </w:rPr>
        <w:t xml:space="preserve">3．盐宜高铁长江隧道「奋楫号」盾构机刀盘下井</w:t>
      </w:r>
    </w:p>
    <w:p>
      <w:pPr>
        <w:spacing w:after="0" w:line="560" w:lineRule="exact"/>
        <w:ind w:firstLine="480"/>
      </w:pPr>
      <w:r>
        <w:rPr>
          <w:rFonts w:ascii="FangSong_GB2312" w:cs="FangSong_GB2312" w:eastAsia="FangSong_GB2312" w:hAnsi="FangSong_GB2312"/>
          <w:sz w:val="32"/>
          <w:szCs w:val="32"/>
        </w:rPr>
        <w:t xml:space="preserve">盐宜高铁长江隧道国产超大直径盾构机「奋楫号」刀盘在靖江顺利下井，盾构机预计7月始发掘进，为全线控制性工程奠定基础。一是量身打造国产超大直径盾构机。针对长江隧道断面大、水压高、地质复杂、掘进距离长等多重挑战，中铁十四局项目团队定制化设计了盾构机「奋楫号」。刀盘为整机尺寸最大、重量最重的关键部件，开挖直径14.33米，总重约469吨，6月4日顺利完成与盾体精准「合体」并下井。二是隧道工程创多项纪录。盐宜高铁长江隧道北连靖江市、南接江阴市，全长8130米，采用单洞双线设计，设计时速250公里，是国内首条采用承插式管片的高速铁路盾构隧道。以盾构法穿越长江，需独头掘进6710米，最大埋深71米，最高水压达7.28bar，长距离穿越软土、高水压、高渗透砂性地层等复杂地质带。三是推进后续节点施工。盾构机预计今年7月始发，正式开启掘进施工。盐宜高铁建成后将进一步完善长三角高铁网布局，助力区域一体化高质量发展。</w:t>
      </w:r>
    </w:p>
    <w:p>
      <w:pPr>
        <w:spacing w:after="120" w:line="560" w:lineRule="exact"/>
        <w:ind w:firstLine="480"/>
      </w:pPr>
      <w:r>
        <w:rPr>
          <w:rFonts w:ascii="FangSong_GB2312" w:cs="FangSong_GB2312" w:eastAsia="FangSong_GB2312" w:hAnsi="FangSong_GB2312"/>
          <w:sz w:val="32"/>
          <w:szCs w:val="32"/>
        </w:rPr>
        <w:t xml:space="preserve">（信息来源：新华日报 6月5日 </w:t>
      </w:r>
      <w:hyperlink w:history="1" r:id="rIdaxcbdxt79tbjl9_6prjcn">
        <w:r>
          <w:rPr>
            <w:rStyle w:val="Hyperlink"/>
            <w:rFonts w:ascii="FangSong_GB2312" w:cs="FangSong_GB2312" w:eastAsia="FangSong_GB2312" w:hAnsi="FangSong_GB2312"/>
            <w:sz w:val="32"/>
            <w:szCs w:val="32"/>
          </w:rPr>
          <w:t xml:space="preserve">https://finance.sina.com.cn/jjxw/2026-06-05/doc-iniahxpe8804554.shtml</w:t>
        </w:r>
      </w:hyperlink>
      <w:r>
        <w:rPr>
          <w:rFonts w:ascii="FangSong_GB2312" w:cs="FangSong_GB2312" w:eastAsia="FangSong_GB2312" w:hAnsi="FangSong_GB2312"/>
          <w:sz w:val="32"/>
          <w:szCs w:val="32"/>
        </w:rPr>
        <w:t xml:space="preserve">）</w:t>
      </w:r>
    </w:p>
    <w:p>
      <w:pPr>
        <w:spacing w:line="560" w:lineRule="exact"/>
      </w:pPr>
    </w:p>
    <w:p>
      <w:pPr>
        <w:spacing w:after="60" w:before="120" w:line="560" w:lineRule="exact"/>
      </w:pPr>
      <w:r>
        <w:rPr>
          <w:rFonts w:ascii="SimHei" w:cs="SimHei" w:eastAsia="SimHei" w:hAnsi="SimHei"/>
          <w:b/>
          <w:bCs/>
          <w:sz w:val="32"/>
          <w:szCs w:val="32"/>
        </w:rPr>
        <w:t xml:space="preserve">4．连云港在动能转换中重塑竞争优势</w:t>
      </w:r>
    </w:p>
    <w:p>
      <w:pPr>
        <w:spacing w:after="0" w:line="560" w:lineRule="exact"/>
        <w:ind w:firstLine="480"/>
      </w:pPr>
      <w:r>
        <w:rPr>
          <w:rFonts w:ascii="FangSong_GB2312" w:cs="FangSong_GB2312" w:eastAsia="FangSong_GB2312" w:hAnsi="FangSong_GB2312"/>
          <w:sz w:val="32"/>
          <w:szCs w:val="32"/>
        </w:rPr>
        <w:t xml:space="preserve">连云港坚定实施「工业立市、产业强市」战略，深入推动智改数转网联与AI+产业融合，在新旧动能转换中重塑竞争优势。一是集群化推进优势产业发展。以徐圩石化基地为载体推动绿色石化产业集聚，目前园区烯烃等基础原料就地转化率超70%，产业关联度突破80%。总投资58.6亿元的长华化学二氧化碳聚醚项目投产，预计今年产值约16亿元。今年1至5月，徐圩新区31个市重点产业项目累计完成投资99.9亿元，完成年度计划的49.8%，超序时进度8.2个百分点。二是加速传统产业智能化绿色化改造。镔鑫钢铁集团累计投资10亿元建成国内首个基于原厂升级改造的全流程智能制造工厂，打造工业互联网平台实现关键工序智能化控制和碳排放实时监测，引入AI大模型提升生产效率。同步投产国内首台套转炉煤气CO₂捕集及资源化利用示范工程，年减排二氧化碳超3万吨。三是布局AI+产业融合路径。召开全市人工智能发展工作推进会，出台专项方案，实施「AI+医药」「AI+电商」等特色专项行动，借助4艘深远海试验船推动海洋装备制造产业集群发展。目前全社会研发投入强度达2.79%，连续6年领跑苏北。四是优化营商环境激发市场活力。全国率先推行商事登记确认制，全省率先落地「租赁即开工」改革，全面推行涉企「不罚、轻罚、减罚」三张清单，涵盖2816项免罚轻罚事项。今年1至5月，新增签约增资扩产项目80个、计划总投资116.6亿元。</w:t>
      </w:r>
    </w:p>
    <w:p>
      <w:pPr>
        <w:spacing w:after="120" w:line="560" w:lineRule="exact"/>
        <w:ind w:firstLine="480"/>
      </w:pPr>
      <w:r>
        <w:rPr>
          <w:rFonts w:ascii="FangSong_GB2312" w:cs="FangSong_GB2312" w:eastAsia="FangSong_GB2312" w:hAnsi="FangSong_GB2312"/>
          <w:sz w:val="32"/>
          <w:szCs w:val="32"/>
        </w:rPr>
        <w:t xml:space="preserve">（信息来源：新华日报 6月5日 </w:t>
      </w:r>
      <w:hyperlink w:history="1" r:id="rIdkroeay5tf9flk5sn8o7gr">
        <w:r>
          <w:rPr>
            <w:rStyle w:val="Hyperlink"/>
            <w:rFonts w:ascii="FangSong_GB2312" w:cs="FangSong_GB2312" w:eastAsia="FangSong_GB2312" w:hAnsi="FangSong_GB2312"/>
            <w:sz w:val="32"/>
            <w:szCs w:val="32"/>
          </w:rPr>
          <w:t xml:space="preserve">https://xh.xhby.net/pc/con/202606/05/content_1561046.html</w:t>
        </w:r>
      </w:hyperlink>
      <w:r>
        <w:rPr>
          <w:rFonts w:ascii="FangSong_GB2312" w:cs="FangSong_GB2312" w:eastAsia="FangSong_GB2312" w:hAnsi="FangSong_GB2312"/>
          <w:sz w:val="32"/>
          <w:szCs w:val="32"/>
        </w:rPr>
        <w:t xml:space="preserve">）</w:t>
      </w:r>
    </w:p>
    <w:p>
      <w:pPr>
        <w:spacing w:line="560" w:lineRule="exact"/>
      </w:pPr>
    </w:p>
    <w:p>
      <w:pPr>
        <w:spacing w:after="60" w:before="120" w:line="560" w:lineRule="exact"/>
      </w:pPr>
      <w:r>
        <w:rPr>
          <w:rFonts w:ascii="SimHei" w:cs="SimHei" w:eastAsia="SimHei" w:hAnsi="SimHei"/>
          <w:b/>
          <w:bCs/>
          <w:sz w:val="32"/>
          <w:szCs w:val="32"/>
        </w:rPr>
        <w:t xml:space="preserve">5．清远探索将机关大院打造成群众共享空间</w:t>
      </w:r>
    </w:p>
    <w:p>
      <w:pPr>
        <w:spacing w:after="0" w:line="560" w:lineRule="exact"/>
        <w:ind w:firstLine="480"/>
      </w:pPr>
      <w:r>
        <w:rPr>
          <w:rFonts w:ascii="FangSong_GB2312" w:cs="FangSong_GB2312" w:eastAsia="FangSong_GB2312" w:hAnsi="FangSong_GB2312"/>
          <w:sz w:val="32"/>
          <w:szCs w:val="32"/>
        </w:rPr>
        <w:t xml:space="preserve">广东清远以拆除围墙、取消门禁等方式，推动机关大院从「闲人免进」转变为群众可自由进出的共享空间，探索公共资源转化为民生福祉的新模式。一是系统拆除物理隔阂。英德市石牯塘镇自去年1月拆除政府大院自动道闸栏杆，取消所有物理隔断，除开放充电桩和公共厕所外，免费提供停车位、便民饮水点，并打造「圩镇客厅」提供政务咨询、旅游指引等服务。连州市在今年春节、「五一」等假期带动多个镇政府敞开大门，累计提供免费停车位逾1000个。清城区协调30处党政机关、企事业单位提供6378个停车位补充假期停车供给。二是延长共享时间至全年全时段。连山县永和镇政府早在2024年即以完全开放姿态迎接群众，增设便民饮水点、母婴室、儿童活动区、无障碍卫生间。连江口镇政府全时段开放快充充电桩，水边镇常态化开放广场并供群众农忙时节晒谷使用，波罗镇将办公区与群众共享区合理分区，工作日和节假日全天免费开放。三是完善配套管理保障秩序。各地因地制宜安装智能监控系统，安排保安24小时值守，高峰期引导办事车辆优先停放，倡导文明停车、爱护环境，实现「开放」与「安全」兼顾。</w:t>
      </w:r>
    </w:p>
    <w:p>
      <w:pPr>
        <w:spacing w:after="120" w:line="560" w:lineRule="exact"/>
        <w:ind w:firstLine="480"/>
      </w:pPr>
      <w:r>
        <w:rPr>
          <w:rFonts w:ascii="FangSong_GB2312" w:cs="FangSong_GB2312" w:eastAsia="FangSong_GB2312" w:hAnsi="FangSong_GB2312"/>
          <w:sz w:val="32"/>
          <w:szCs w:val="32"/>
        </w:rPr>
        <w:t xml:space="preserve">（信息来源：南方日报 6月4日 </w:t>
      </w:r>
      <w:hyperlink w:history="1" r:id="rIdcyuaiixgqdjzt7apbxprt">
        <w:r>
          <w:rPr>
            <w:rStyle w:val="Hyperlink"/>
            <w:rFonts w:ascii="FangSong_GB2312" w:cs="FangSong_GB2312" w:eastAsia="FangSong_GB2312" w:hAnsi="FangSong_GB2312"/>
            <w:sz w:val="32"/>
            <w:szCs w:val="32"/>
          </w:rPr>
          <w:t xml:space="preserve">https://epaper.nfnews.com/nfdaily/html/202606/04/content_10172225.html</w:t>
        </w:r>
      </w:hyperlink>
      <w:r>
        <w:rPr>
          <w:rFonts w:ascii="FangSong_GB2312" w:cs="FangSong_GB2312" w:eastAsia="FangSong_GB2312" w:hAnsi="FangSong_GB2312"/>
          <w:sz w:val="32"/>
          <w:szCs w:val="32"/>
        </w:rPr>
        <w:t xml:space="preserve">）</w:t>
      </w:r>
    </w:p>
    <w:p>
      <w:pPr>
        <w:spacing w:line="560" w:lineRule="exact"/>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_GB2312" w:cs="FangSong_GB2312" w:eastAsia="FangSong_GB2312" w:hAnsi="FangSong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9un9neqyibnjfya24yc_" Type="http://schemas.openxmlformats.org/officeDocument/2006/relationships/hyperlink" Target="https://xh.xhby.net/pc/con/202606/05/content_1561110.html" TargetMode="External"/><Relationship Id="rIdqbbnrgsme7w06s5md6mcz" Type="http://schemas.openxmlformats.org/officeDocument/2006/relationships/hyperlink" Target="https://xh.xhby.net/pc/con/202606/05/content_1561110.html" TargetMode="External"/><Relationship Id="rIdaxcbdxt79tbjl9_6prjcn" Type="http://schemas.openxmlformats.org/officeDocument/2006/relationships/hyperlink" Target="https://finance.sina.com.cn/jjxw/2026-06-05/doc-iniahxpe8804554.shtml" TargetMode="External"/><Relationship Id="rIdkroeay5tf9flk5sn8o7gr" Type="http://schemas.openxmlformats.org/officeDocument/2006/relationships/hyperlink" Target="https://xh.xhby.net/pc/con/202606/05/content_1561046.html" TargetMode="External"/><Relationship Id="rIdcyuaiixgqdjzt7apbxprt" Type="http://schemas.openxmlformats.org/officeDocument/2006/relationships/hyperlink" Target="https://epaper.nfnews.com/nfdaily/html/202606/04/content_10172225.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2026-06-05T00:33:27.630Z</dcterms:created>
  <dcterms:modified xsi:type="dcterms:W3CDTF">2026-06-05T00:33:27.631Z</dcterms:modified>
</cp:coreProperties>
</file>

<file path=docProps/custom.xml><?xml version="1.0" encoding="utf-8"?>
<Properties xmlns="http://schemas.openxmlformats.org/officeDocument/2006/custom-properties" xmlns:vt="http://schemas.openxmlformats.org/officeDocument/2006/docPropsVTypes"/>
</file>