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  <w:spacing w:after="400" w:line="560"/>
        <w:jc w:val="center"/>
        <w:rPr>
          <w:rFonts w:ascii="SimHei" w:cs="SimHei" w:eastAsia="SimHei" w:hAnsi="SimHei"/>
          <w:b/>
          <w:bCs/>
          <w:sz w:val="32"/>
          <w:szCs w:val="32"/>
        </w:rPr>
      </w:pPr>
      <w:r>
        <w:t xml:space="preserve">媒体信息摘报</w:t>
      </w:r>
    </w:p>
    <w:p>
      <w:pPr>
        <w:spacing w:after="400" w:line="560"/>
        <w:jc w:val="center"/>
        <w:rPr>
          <w:rFonts w:ascii="FangSong_GB2312" w:cs="FangSong_GB2312" w:eastAsia="FangSong_GB2312" w:hAnsi="FangSong_GB2312"/>
          <w:sz w:val="32"/>
          <w:szCs w:val="32"/>
        </w:rPr>
      </w:pPr>
      <w:r>
        <w:t xml:space="preserve">2026年6月22日</w:t>
      </w:r>
    </w:p>
    <w:p>
      <w:pPr>
        <w:spacing w:after="300"/>
        <w:jc w:val="center"/>
        <w:rPr>
          <w:rFonts w:ascii="FangSong_GB2312" w:cs="FangSong_GB2312" w:eastAsia="FangSong_GB2312" w:hAnsi="FangSong_GB2312"/>
          <w:color w:val="999999"/>
          <w:sz w:val="24"/>
          <w:szCs w:val="24"/>
        </w:rPr>
      </w:pPr>
      <w:r>
        <w:t xml:space="preserve">━━━━━━━━━━━━━━━━━━━━━━━━━━━━━━━━━━━━━━━━</w:t>
      </w:r>
    </w:p>
    <w:p>
      <w:pPr>
        <w:spacing w:after="150" w:before="300" w:line="560" w:lineRule="exact"/>
      </w:pPr>
      <w:r>
        <w:rPr>
          <w:rFonts w:ascii="FangSong_GB2312" w:cs="FangSong_GB2312" w:eastAsia="FangSong_GB2312" w:hAnsi="FangSong_GB2312"/>
          <w:b/>
          <w:bCs/>
          <w:sz w:val="32"/>
          <w:szCs w:val="32"/>
        </w:rPr>
        <w:t xml:space="preserve">1. </w:t>
      </w:r>
      <w:r>
        <w:rPr>
          <w:rFonts w:ascii="FangSong_GB2312" w:cs="FangSong_GB2312" w:eastAsia="FangSong_GB2312" w:hAnsi="FangSong_GB2312"/>
          <w:b/>
          <w:bCs/>
          <w:sz w:val="32"/>
          <w:szCs w:val="32"/>
        </w:rPr>
        <w:t xml:space="preserve">金融助力扬帆出海 "江苏好物"守护万家好梦</w:t>
      </w:r>
    </w:p>
    <w:p>
      <w:pPr>
        <w:spacing w:after="100" w:line="560" w:lineRule="exact"/>
        <w:ind w:firstLine="640"/>
        <w:rPr>
          <w:rFonts w:ascii="FangSong_GB2312" w:cs="FangSong_GB2312" w:eastAsia="FangSong_GB2312" w:hAnsi="FangSong_GB2312"/>
          <w:sz w:val="32"/>
          <w:szCs w:val="32"/>
        </w:rPr>
      </w:pPr>
      <w:r>
        <w:t xml:space="preserve">江苏省积极推动家纺产业集群出海，农业银行江苏省分行聚焦南通家纺产业集群，创新推出链式金融服务模式，为家纺企业提供从原材料采购、生产制造到跨境贸易的全链条金融支持，助力传统纺织产业在全球市场中提升竞争力。一是推出"家纺跨境贷"专项金融产品，为出海企业提供低息流动资金贷款和汇率避险组合服务，切实降低企业跨境融资成本，单户最高授信额度可达三千万元；二是搭建"江苏好物"跨境电商金融服务平台，整合报关、退税、物流跟踪、跨境结算等外贸核心环节，实现"单一窗口"式一站式通关和资金高效结算，大幅缩短企业跨境交易周期和资金回笼时间；三是组建专业化跨境金融服务团队，深入南通叠石桥、海门三星等家纺产业园区开展"一对一"出海精准辅导，根据企业不同发展阶段匹配差异化金融方案，覆盖初创期、成长期到成熟期全生命周期；四是创新供应链融资模式，以产业链上游核心企业信用为下游中小微家纺企业增信，有效破解中小企业因抵押物不足导致的跨境贸易融资难题。截至目前，该行已累计为超过一千家纺织外贸企业提供定制化金融服务方案，有力支撑"江苏好物"品牌加速走向全球市场，探索出一条金融服务实体产业出海的特色路径，为全省外向型经济转型升级注入了强劲金融动能。</w:t>
      </w:r>
    </w:p>
    <w:p>
      <w:pPr>
        <w:spacing w:after="200" w:line="560" w:lineRule="exact"/>
        <w:rPr>
          <w:rFonts w:ascii="FangSong_GB2312" w:cs="FangSong_GB2312" w:eastAsia="FangSong_GB2312" w:hAnsi="FangSong_GB2312"/>
          <w:color w:val="555555"/>
          <w:sz w:val="28"/>
          <w:szCs w:val="28"/>
        </w:rPr>
      </w:pPr>
      <w:r>
        <w:t xml:space="preserve">（信息来源：新华日报6月22日《金融助力扬帆出海 "江苏好物"守护万家好梦》  https://xh.xhby.net/pc/con/202606/22/content_1565176.html）</w:t>
      </w:r>
    </w:p>
    <w:p>
      <w:pPr>
        <w:spacing w:after="150" w:before="300" w:line="560" w:lineRule="exact"/>
      </w:pPr>
      <w:r>
        <w:rPr>
          <w:rFonts w:ascii="FangSong_GB2312" w:cs="FangSong_GB2312" w:eastAsia="FangSong_GB2312" w:hAnsi="FangSong_GB2312"/>
          <w:b/>
          <w:bCs/>
          <w:sz w:val="32"/>
          <w:szCs w:val="32"/>
        </w:rPr>
        <w:t xml:space="preserve">2. </w:t>
      </w:r>
      <w:r>
        <w:rPr>
          <w:rFonts w:ascii="FangSong_GB2312" w:cs="FangSong_GB2312" w:eastAsia="FangSong_GB2312" w:hAnsi="FangSong_GB2312"/>
          <w:b/>
          <w:bCs/>
          <w:sz w:val="32"/>
          <w:szCs w:val="32"/>
        </w:rPr>
        <w:t xml:space="preserve">"超级玻璃"，万亿元新赛道！企业纷纷加码布局</w:t>
      </w:r>
    </w:p>
    <w:p>
      <w:pPr>
        <w:spacing w:after="100" w:line="560" w:lineRule="exact"/>
        <w:ind w:firstLine="640"/>
        <w:rPr>
          <w:rFonts w:ascii="FangSong_GB2312" w:cs="FangSong_GB2312" w:eastAsia="FangSong_GB2312" w:hAnsi="FangSong_GB2312"/>
          <w:sz w:val="32"/>
          <w:szCs w:val="32"/>
        </w:rPr>
      </w:pPr>
      <w:r>
        <w:t xml:space="preserve">随着AI算力需求持续爆发，传统硅基封装材料正逼近物理极限，TGV玻璃基板凭借低损耗、抗翘曲、支持大尺寸面板级生产且材料成本远低于传统硅基板等突出优势，成为下一代先进封装材料的理想之选。中国工程院院士彭寿预测，该赛道可能在"十五五"末期发展为万亿元级新产业，从AI大算力散热到6G射频高频传输再到低空经济，应用场景极为广阔。国内企业正加速从技术验证向量产过渡，多项关键举措同步推进：一是依托显示玻璃领域积累的深厚技术底蕴，将成熟的玻璃配方、熔炼成型和表面处理工艺向半导体封装领域迁移，构建"材料—工艺—装备"一体化协同创新体系，陕西咸阳企业预计年内完成首批工艺验证；二是攻克微米级高密度打孔核心技术难关，湖南长沙企业通过激光诱导蚀刻工艺实现百万级通孔零不通率，关键工艺表现优于部分进口对比样，达到国际先进水平；三是头部企业积极布局专用产线，蓝思科技规划建设三万平方米玻璃基板专用厂房和配套产线，预计今年年底正式投入使用，配合海内外客户开展多轮送样验证。目前国内已形成合肥、蚌埠、咸阳、成都四大玻璃基板产业集群，国产替代进程正全面提速，有望在关键材料领域实现弯道超车，为国产高端材料自主可控注入强劲动力。</w:t>
      </w:r>
    </w:p>
    <w:p>
      <w:pPr>
        <w:spacing w:after="200" w:line="560" w:lineRule="exact"/>
        <w:rPr>
          <w:rFonts w:ascii="FangSong_GB2312" w:cs="FangSong_GB2312" w:eastAsia="FangSong_GB2312" w:hAnsi="FangSong_GB2312"/>
          <w:color w:val="555555"/>
          <w:sz w:val="28"/>
          <w:szCs w:val="28"/>
        </w:rPr>
      </w:pPr>
      <w:r>
        <w:t xml:space="preserve">（信息来源：解放日报6月22日《"超级玻璃"，万亿元新赛道！企业纷纷加码布局》  https://www.jfdaily.com/staticsg/res/html/web/newsDetail.html?id=1132380&amp;sid=11）</w:t>
      </w:r>
    </w:p>
    <w:p>
      <w:pPr>
        <w:spacing w:after="150" w:before="300" w:line="560" w:lineRule="exact"/>
      </w:pPr>
      <w:r>
        <w:rPr>
          <w:rFonts w:ascii="FangSong_GB2312" w:cs="FangSong_GB2312" w:eastAsia="FangSong_GB2312" w:hAnsi="FangSong_GB2312"/>
          <w:b/>
          <w:bCs/>
          <w:sz w:val="32"/>
          <w:szCs w:val="32"/>
        </w:rPr>
        <w:t xml:space="preserve">3. </w:t>
      </w:r>
      <w:r>
        <w:rPr>
          <w:rFonts w:ascii="FangSong_GB2312" w:cs="FangSong_GB2312" w:eastAsia="FangSong_GB2312" w:hAnsi="FangSong_GB2312"/>
          <w:b/>
          <w:bCs/>
          <w:sz w:val="32"/>
          <w:szCs w:val="32"/>
        </w:rPr>
        <w:t xml:space="preserve">豫科积分，为科技企业画像</w:t>
      </w:r>
    </w:p>
    <w:p>
      <w:pPr>
        <w:spacing w:after="100" w:line="560" w:lineRule="exact"/>
        <w:ind w:firstLine="640"/>
        <w:rPr>
          <w:rFonts w:ascii="FangSong_GB2312" w:cs="FangSong_GB2312" w:eastAsia="FangSong_GB2312" w:hAnsi="FangSong_GB2312"/>
          <w:sz w:val="32"/>
          <w:szCs w:val="32"/>
        </w:rPr>
      </w:pPr>
      <w:r>
        <w:t xml:space="preserve">河南省创新推出"豫科积分"科技企业评价体系，通过多维数据建模为科技型企业精准"画像"，破解金融机构对科技企业"看不懂、不敢贷"的长期难题，打通科技与金融深度融合的关键堵点。一是构建多维度积分评价模型，整合企业研发投入强度、知识产权数量与质量、科技成果转化效益、核心团队人才层次、市场成长性等五大维度指标，形成科技企业综合创新能力量化评分体系，实现从"主观判断"到"数据说话"的关键转变，让企业创新能力可量化、可比较、可追溯；二是建立"积分换信用、信用换贷款"的融资增信机制，金融机构依据积分等级为企业提供差异化授信额度与利率优惠，信用贷款最高可达一千万元，有效降低轻资产科技企业融资门槛；三是搭建"豫科积分"线上化服务平台，企业通过手机小程序即可完成自评申报、数据自动核验和融资产品智能匹配，实现全流程线上办理，最快三个工作日可完成授信审批；四是配套建立动态调整与风险补偿机制，按年度更新企业积分并设立科技信贷风险补偿资金池，解除银行后顾之忧。该体系已在郑州、洛阳等地试点推广，累计为超过五百家科技企业完成积分评价，带动银行授信超三十亿元，为全国科技金融融合发展探索了新经验，为破解科技型中小企业融资难提供了可复制路径。</w:t>
      </w:r>
    </w:p>
    <w:p>
      <w:pPr>
        <w:spacing w:after="200" w:line="560" w:lineRule="exact"/>
        <w:rPr>
          <w:rFonts w:ascii="FangSong_GB2312" w:cs="FangSong_GB2312" w:eastAsia="FangSong_GB2312" w:hAnsi="FangSong_GB2312"/>
          <w:color w:val="555555"/>
          <w:sz w:val="28"/>
          <w:szCs w:val="28"/>
        </w:rPr>
      </w:pPr>
      <w:r>
        <w:t xml:space="preserve">（信息来源：河南日报6月22日《豫科积分，为科技企业画像》  https://news.dahe.cn/2026/06-22/2100063.html）</w:t>
      </w:r>
    </w:p>
    <w:p>
      <w:pPr>
        <w:spacing w:after="150" w:before="300" w:line="560" w:lineRule="exact"/>
      </w:pPr>
      <w:r>
        <w:rPr>
          <w:rFonts w:ascii="FangSong_GB2312" w:cs="FangSong_GB2312" w:eastAsia="FangSong_GB2312" w:hAnsi="FangSong_GB2312"/>
          <w:b/>
          <w:bCs/>
          <w:sz w:val="32"/>
          <w:szCs w:val="32"/>
        </w:rPr>
        <w:t xml:space="preserve">4. </w:t>
      </w:r>
      <w:r>
        <w:rPr>
          <w:rFonts w:ascii="FangSong_GB2312" w:cs="FangSong_GB2312" w:eastAsia="FangSong_GB2312" w:hAnsi="FangSong_GB2312"/>
          <w:b/>
          <w:bCs/>
          <w:sz w:val="32"/>
          <w:szCs w:val="32"/>
        </w:rPr>
        <w:t xml:space="preserve">美云智数："智能体工厂"重塑制造版图</w:t>
      </w:r>
    </w:p>
    <w:p>
      <w:pPr>
        <w:spacing w:after="100" w:line="560" w:lineRule="exact"/>
        <w:ind w:firstLine="640"/>
        <w:rPr>
          <w:rFonts w:ascii="FangSong_GB2312" w:cs="FangSong_GB2312" w:eastAsia="FangSong_GB2312" w:hAnsi="FangSong_GB2312"/>
          <w:sz w:val="32"/>
          <w:szCs w:val="32"/>
        </w:rPr>
      </w:pPr>
      <w:r>
        <w:t xml:space="preserve">广东美云智数科技有限公司创新打造"智能体工厂"模式，将人工智能深度嵌入制造业全流程，为传统制造向智能制造转型提供可复制、可推广的系统解决方案。一是构建工业智能体开发平台，将工艺优化、质量检测、设备预测性维护、供应链智能调度等制造业关键环节封装为标准化的AI智能体模块，企业可根据实际需求灵活组合调用，大幅降低AI技术的工业应用门槛和部署成本；二是打造"数字孪生+智能体"融合架构，通过实时采集生产线运行数据构建高精度虚拟工厂模型，智能体在数字孪生环境中持续训练优化后反向部署到物理产线，实现"虚实联动、以虚优实"的闭环迭代优化；三是建立行业知识图谱与工业大模型底座，沉淀家电、电子、装备等多个细分行业的工艺知识库与最佳实践案例，支撑智能体快速适配不同行业场景和生产流程，实现跨行业知识复用；四是推行"平台+生态"开放合作模式，联合上下游企业、高校和科研机构共建工业智能体生态联盟，共享技术研发成果和应用验证经验，有效降低行业整体智能化转型成本。目前该模式已在美的集团全球数十家工厂规模化落地应用，助力产线综合效率提升超过百分之二十，为制造业智能化升级树立了行业标杆，为传统产业智能化改造提供了系统化范本。</w:t>
      </w:r>
    </w:p>
    <w:p>
      <w:pPr>
        <w:spacing w:after="200" w:line="560" w:lineRule="exact"/>
        <w:rPr>
          <w:rFonts w:ascii="FangSong_GB2312" w:cs="FangSong_GB2312" w:eastAsia="FangSong_GB2312" w:hAnsi="FangSong_GB2312"/>
          <w:color w:val="555555"/>
          <w:sz w:val="28"/>
          <w:szCs w:val="28"/>
        </w:rPr>
      </w:pPr>
      <w:r>
        <w:t xml:space="preserve">（信息来源：南方日报6月22日《美云智数："智能体工厂"重塑制造版图》  https://epaper.nfnews.com/nfdaily/html/202606/22/content_10173587.html）</w:t>
      </w:r>
    </w:p>
    <w:p>
      <w:pPr>
        <w:spacing w:after="150" w:before="300" w:line="560" w:lineRule="exact"/>
      </w:pPr>
      <w:r>
        <w:rPr>
          <w:rFonts w:ascii="FangSong_GB2312" w:cs="FangSong_GB2312" w:eastAsia="FangSong_GB2312" w:hAnsi="FangSong_GB2312"/>
          <w:b/>
          <w:bCs/>
          <w:sz w:val="32"/>
          <w:szCs w:val="32"/>
        </w:rPr>
        <w:t xml:space="preserve">5. </w:t>
      </w:r>
      <w:r>
        <w:rPr>
          <w:rFonts w:ascii="FangSong_GB2312" w:cs="FangSong_GB2312" w:eastAsia="FangSong_GB2312" w:hAnsi="FangSong_GB2312"/>
          <w:b/>
          <w:bCs/>
          <w:sz w:val="32"/>
          <w:szCs w:val="32"/>
        </w:rPr>
        <w:t xml:space="preserve">"粤工实训"把课堂搬进产业一线</w:t>
      </w:r>
    </w:p>
    <w:p>
      <w:pPr>
        <w:spacing w:after="100" w:line="560" w:lineRule="exact"/>
        <w:ind w:firstLine="640"/>
        <w:rPr>
          <w:rFonts w:ascii="FangSong_GB2312" w:cs="FangSong_GB2312" w:eastAsia="FangSong_GB2312" w:hAnsi="FangSong_GB2312"/>
          <w:sz w:val="32"/>
          <w:szCs w:val="32"/>
        </w:rPr>
      </w:pPr>
      <w:r>
        <w:t xml:space="preserve">广东省创新推出"粤工实训"产业工人技能提升计划，将培训课堂从传统教室搬到工厂车间和产业一线，探索"以产定训、以岗施教"的技能人才培养新模式。一是建立"产业需求导向"的课程开发机制，依托全省二十个战略性产业集群定期开展技能人才需求调研，动态更新实训课程目录，确保培训内容与产业前沿技术同步迭代，今年已更新开设工业机器人运维、新能源电池制造、智能网联汽车装调等三十余门紧缺工种课程；二是构建"厂中校、校中厂"双元实训体系，在全省遴选一百家龙头企业和职业院校共建实训基地，学员上午在课堂学习理论、下午进车间实操训练，实现"学中做、做中学"的深度产教融合；三是推行"培训即上岗"的就业衔接模式，实训基地与用工企业签订定向培养协议，学员完成培训并考核合格后直接推荐上岗，培训就业转化率超过百分之八十五；四是建立"技能等级与薪酬待遇挂钩"的激励导向机制，引导企业将技能等级证书与岗位晋升、薪资定级直接关联，激发产业工人持续提升技能的积极性。该计划实施以来，已累计培训产业工人超过十万人次，为广东制造业高质量发展提供了坚实的技能人才队伍支撑，形成了技能人才供给侧改革的广东样本，为推动产业转型升级储备了大批实用型技能人才。</w:t>
      </w:r>
    </w:p>
    <w:p>
      <w:pPr>
        <w:spacing w:after="200" w:line="560" w:lineRule="exact"/>
        <w:rPr>
          <w:rFonts w:ascii="FangSong_GB2312" w:cs="FangSong_GB2312" w:eastAsia="FangSong_GB2312" w:hAnsi="FangSong_GB2312"/>
          <w:color w:val="555555"/>
          <w:sz w:val="28"/>
          <w:szCs w:val="28"/>
        </w:rPr>
      </w:pPr>
      <w:r>
        <w:t xml:space="preserve">（信息来源：南方日报6月22日《"粤工实训"把课堂搬进产业一线》  https://epaper.nfnews.com/nfdaily/html/202606/22/content_10173589.html）</w:t>
      </w:r>
    </w:p>
    <w:p>
      <w:pPr>
        <w:spacing w:before="400"/>
      </w:pPr>
    </w:p>
    <w:p>
      <w:pPr>
        <w:jc w:val="center"/>
        <w:rPr>
          <w:rFonts w:ascii="FangSong_GB2312" w:cs="FangSong_GB2312" w:eastAsia="FangSong_GB2312" w:hAnsi="FangSong_GB2312"/>
          <w:color w:val="999999"/>
          <w:sz w:val="24"/>
          <w:szCs w:val="24"/>
        </w:rPr>
      </w:pPr>
      <w:r>
        <w:t xml:space="preserve">（本文档由自动系统生成，仅供内部参考）</w:t>
      </w:r>
    </w:p>
    <w:sectPr>
      <w:pgSz w:w="11906" w:h="16838" w:orient="portrait"/>
      <w:pgMar w:top="1440" w:right="1800" w:bottom="1440" w:left="18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FangSong_GB2312" w:cs="FangSong_GB2312" w:eastAsia="FangSong_GB2312" w:hAnsi="FangSong_GB2312"/>
        <w:sz w:val="32"/>
        <w:szCs w:val="32"/>
      </w:rPr>
    </w:rPrDefault>
    <w:pPrDefault>
      <w:pPr>
        <w:spacing w:line="560" w:lineRule="exact"/>
      </w:pPr>
    </w:pPrDefault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2026-06-22T00:57:09.085Z</dcterms:created>
  <dcterms:modified xsi:type="dcterms:W3CDTF">2026-06-22T00:57:09.086Z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