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before="0" w:after="0"/>
        <w:jc w:val="center"/>
      </w:pPr>
      <w:r>
        <w:rPr>
          <w:rFonts w:ascii="SimHei" w:hAnsi="SimHei" w:eastAsia="黑体"/>
          <w:b/>
          <w:sz w:val="32"/>
        </w:rPr>
        <w:t>媒体信息摘报</w:t>
      </w:r>
    </w:p>
    <w:p>
      <w:pPr>
        <w:spacing w:lineRule="exact" w:line="560" w:before="0" w:after="0"/>
        <w:jc w:val="center"/>
      </w:pPr>
      <w:r>
        <w:rPr>
          <w:rFonts w:ascii="仿宋_GB2312" w:hAnsi="仿宋_GB2312" w:eastAsia="仿宋_GB2312"/>
          <w:b w:val="0"/>
          <w:sz w:val="32"/>
        </w:rPr>
        <w:t>2026年10月26日 · 省级党报经济·科技·消费创新举措精选（福建省可借鉴）</w:t>
      </w:r>
    </w:p>
    <w:p/>
    <w:p>
      <w:pPr>
        <w:spacing w:lineRule="exact" w:line="560" w:before="0" w:after="0"/>
      </w:pPr>
      <w:r>
        <w:rPr>
          <w:rFonts w:ascii="SimHei" w:hAnsi="SimHei" w:eastAsia="黑体"/>
          <w:b/>
          <w:sz w:val="32"/>
        </w:rPr>
        <w:t>1. 读懂"工业粮食"，培育适配新材料赛道的耐心资本</w:t>
      </w:r>
    </w:p>
    <w:p>
      <w:pPr>
        <w:spacing w:lineRule="exact" w:line="560" w:before="0" w:after="0"/>
        <w:ind w:firstLine="640"/>
      </w:pPr>
      <w:r>
        <w:rPr>
          <w:rFonts w:ascii="仿宋_GB2312" w:hAnsi="仿宋_GB2312" w:eastAsia="仿宋_GB2312"/>
          <w:b w:val="0"/>
          <w:sz w:val="32"/>
        </w:rPr>
        <w:t>近日，由省委金融办、省科技厅联合主办的第二期"金融高管走进实验室"专项活动在苏州举行，省内银行、创投、保险、担保等机构负责人走进材料领域高能级战略科研平台、仿生界面材料科学全国重点实验室，把调研课堂搬到科研装置一线，探索破解新材料领域产融错配现实命题。</w:t>
      </w:r>
    </w:p>
    <w:p>
      <w:pPr>
        <w:spacing w:lineRule="exact" w:line="560" w:before="0" w:after="0"/>
        <w:ind w:firstLine="640"/>
      </w:pPr>
      <w:r>
        <w:rPr>
          <w:rFonts w:ascii="仿宋_GB2312" w:hAnsi="仿宋_GB2312" w:eastAsia="仿宋_GB2312"/>
          <w:b w:val="0"/>
          <w:sz w:val="32"/>
        </w:rPr>
        <w:t>材料被称作制造业的"工业粮食"。新材料创新链条有其特殊性：科研投入重、研发周期长、小试中试迭代风险高，实验室样品距离规模化量产之间横亘着一道"峡谷"，传统金融评价体系很难适配这类原始创新主体的成长节奏。江苏已形成较为完备的新材料科创金融供给底座，全省境内新材料上市公司达69家。具体举措如下：</w:t>
      </w:r>
    </w:p>
    <w:p>
      <w:pPr>
        <w:spacing w:lineRule="exact" w:line="560" w:before="0" w:after="0"/>
        <w:ind w:firstLine="640"/>
      </w:pPr>
      <w:r>
        <w:rPr>
          <w:rFonts w:ascii="仿宋_GB2312" w:hAnsi="仿宋_GB2312" w:eastAsia="仿宋_GB2312"/>
          <w:b w:val="0"/>
          <w:sz w:val="32"/>
        </w:rPr>
        <w:t>一是开展"金融高管走进实验室"专项活动。把金融机构决策层带到科研装置一线，弥合技术认知差，推动机构建立"看技术、看团队、看产业化潜力"的多元研判视角；下一步将分赛道走进太湖、云龙湖、钟山等省实验室及全国重点实验室，覆盖海洋装备、深地能源、生物种业等战略赛道，持续向金融机构推送科研进展与产业动态。</w:t>
      </w:r>
    </w:p>
    <w:p>
      <w:pPr>
        <w:spacing w:lineRule="exact" w:line="560" w:before="0" w:after="0"/>
        <w:ind w:firstLine="640"/>
      </w:pPr>
      <w:r>
        <w:rPr>
          <w:rFonts w:ascii="仿宋_GB2312" w:hAnsi="仿宋_GB2312" w:eastAsia="仿宋_GB2312"/>
          <w:b w:val="0"/>
          <w:sz w:val="32"/>
        </w:rPr>
        <w:t>二是依托"凝鑫聚链"科技金融专项行动，发挥省级战新母基金牵引作用，坚持投早投小投长期投硬科技，引导社会资本流向先进材料赛道。</w:t>
      </w:r>
    </w:p>
    <w:p>
      <w:pPr>
        <w:spacing w:lineRule="exact" w:line="560" w:before="0" w:after="0"/>
        <w:ind w:firstLine="640"/>
      </w:pPr>
      <w:r>
        <w:rPr>
          <w:rFonts w:ascii="仿宋_GB2312" w:hAnsi="仿宋_GB2312" w:eastAsia="仿宋_GB2312"/>
          <w:b w:val="0"/>
          <w:sz w:val="32"/>
        </w:rPr>
        <w:t>三是持续做优"苏科贷""苏知贷"，为材料领域科创主体提供低成本信用融资。</w:t>
      </w:r>
    </w:p>
    <w:p>
      <w:pPr>
        <w:spacing w:lineRule="exact" w:line="560" w:before="0" w:after="0"/>
        <w:ind w:firstLine="640"/>
      </w:pPr>
      <w:r>
        <w:rPr>
          <w:rFonts w:ascii="仿宋_GB2312" w:hAnsi="仿宋_GB2312" w:eastAsia="仿宋_GB2312"/>
          <w:b w:val="0"/>
          <w:sz w:val="32"/>
        </w:rPr>
        <w:t>四是创新推出"江苏科创保"政策性科技保险，将小试、中试环节纳入保障范围，用财政补贴分担研发试错风险。</w:t>
      </w:r>
    </w:p>
    <w:p>
      <w:pPr>
        <w:spacing w:lineRule="exact" w:line="560" w:before="0" w:after="0"/>
        <w:ind w:firstLine="640"/>
      </w:pPr>
      <w:r>
        <w:rPr>
          <w:rFonts w:ascii="仿宋_GB2312" w:hAnsi="仿宋_GB2312" w:eastAsia="仿宋_GB2312"/>
          <w:b w:val="0"/>
          <w:sz w:val="32"/>
        </w:rPr>
        <w:t>五是依托"苏科融"综合服务平台，整合股、贷、债、保、担多元工具，面向新材料创新主体提供一站式线上服务。</w:t>
      </w:r>
    </w:p>
    <w:p>
      <w:pPr>
        <w:spacing w:lineRule="exact" w:line="560" w:before="0" w:after="0"/>
      </w:pPr>
      <w:r>
        <w:rPr>
          <w:rFonts w:ascii="仿宋_GB2312" w:hAnsi="仿宋_GB2312" w:eastAsia="仿宋_GB2312"/>
          <w:b w:val="0"/>
          <w:sz w:val="32"/>
        </w:rPr>
        <w:t>（信息来源：新华日报10月26日《读懂"工业粮食"，培育适配新材料赛道的耐心资本》  https://xh.xhby.net/pad/con/202610/26/content_1600328.html）</w:t>
      </w:r>
    </w:p>
    <w:p/>
    <w:p>
      <w:pPr>
        <w:spacing w:lineRule="exact" w:line="560" w:before="0" w:after="0"/>
      </w:pPr>
      <w:r>
        <w:rPr>
          <w:rFonts w:ascii="SimHei" w:hAnsi="SimHei" w:eastAsia="黑体"/>
          <w:b/>
          <w:sz w:val="32"/>
        </w:rPr>
        <w:t>2. 湘金轩丨以场景创新塑造湖南发展新优势</w:t>
      </w:r>
    </w:p>
    <w:p>
      <w:pPr>
        <w:spacing w:lineRule="exact" w:line="560" w:before="0" w:after="0"/>
        <w:ind w:firstLine="640"/>
      </w:pPr>
      <w:r>
        <w:rPr>
          <w:rFonts w:ascii="仿宋_GB2312" w:hAnsi="仿宋_GB2312" w:eastAsia="仿宋_GB2312"/>
          <w:b w:val="0"/>
          <w:sz w:val="32"/>
        </w:rPr>
        <w:t>场景是连接技术和产业、打通研发和市场的桥梁。湖南产业门类齐全、制造业底蕴深厚、创新资源富集，把场景盘活用好，将场景优势转化为发展动能，是湖南因地制宜培育发展新质生产力的关键一招。</w:t>
      </w:r>
    </w:p>
    <w:p>
      <w:pPr>
        <w:spacing w:lineRule="exact" w:line="560" w:before="0" w:after="0"/>
        <w:ind w:firstLine="640"/>
      </w:pPr>
      <w:r>
        <w:rPr>
          <w:rFonts w:ascii="仿宋_GB2312" w:hAnsi="仿宋_GB2312" w:eastAsia="仿宋_GB2312"/>
          <w:b w:val="0"/>
          <w:sz w:val="32"/>
        </w:rPr>
        <w:t>一是出台全省统一场景服务平台建设方案。今年4月，省政府办公厅印发《湖南省加快场景创新和大规模应用三年行动方案（2026—2028年）》；5月18日，湖南省应用场景超市在省发展改革委门户网站上线，6月中旬登陆"湘易办"移动端。</w:t>
      </w:r>
    </w:p>
    <w:p>
      <w:pPr>
        <w:spacing w:lineRule="exact" w:line="560" w:before="0" w:after="0"/>
        <w:ind w:firstLine="640"/>
      </w:pPr>
      <w:r>
        <w:rPr>
          <w:rFonts w:ascii="仿宋_GB2312" w:hAnsi="仿宋_GB2312" w:eastAsia="仿宋_GB2312"/>
          <w:b w:val="0"/>
          <w:sz w:val="32"/>
        </w:rPr>
        <w:t>二是建立"三张清单"常态化征集发布机制。场景超市设置国企开放、政府场景、事业单位三大专区，覆盖人工智能、先进制造、节能环保、低空经济、矿山安全等14个行业领域，一头连着场景机会供给方（政府部门、园区、国企、民企开放真实生产制造、城市治理、民生服务项目），一头连着场景能力供给方（专精特新企业、科创团队、高校成果转化项目），输出技术解决方案。</w:t>
      </w:r>
    </w:p>
    <w:p>
      <w:pPr>
        <w:spacing w:lineRule="exact" w:line="560" w:before="0" w:after="0"/>
        <w:ind w:firstLine="640"/>
      </w:pPr>
      <w:r>
        <w:rPr>
          <w:rFonts w:ascii="仿宋_GB2312" w:hAnsi="仿宋_GB2312" w:eastAsia="仿宋_GB2312"/>
          <w:b w:val="0"/>
          <w:sz w:val="32"/>
        </w:rPr>
        <w:t>三是推动供需匹配从"信息发布"走向"项目撮合"。依托"三张清单"和专业化运营团队开展近百次撮合对接，目前已汇集场景机会288个、能力供给309项，入驻企业482家，促成对接意向39个、成交场景项目4个。</w:t>
      </w:r>
    </w:p>
    <w:p>
      <w:pPr>
        <w:spacing w:lineRule="exact" w:line="560" w:before="0" w:after="0"/>
        <w:ind w:firstLine="640"/>
      </w:pPr>
      <w:r>
        <w:rPr>
          <w:rFonts w:ascii="仿宋_GB2312" w:hAnsi="仿宋_GB2312" w:eastAsia="仿宋_GB2312"/>
          <w:b w:val="0"/>
          <w:sz w:val="32"/>
        </w:rPr>
        <w:t>四是引入专业运营力量，构建"政府引导、市场运营、专业撮合、生态开放"机制。在不新设事业单位、不增加机构编制基础上，通过政府购买服务引入专业运营，推动场景招商从传统要素优惠招商向"市场需求、资源开放、应用验证、产业合作"相结合的场景招商模式延伸。</w:t>
      </w:r>
    </w:p>
    <w:p>
      <w:pPr>
        <w:spacing w:lineRule="exact" w:line="560" w:before="0" w:after="0"/>
        <w:ind w:firstLine="640"/>
      </w:pPr>
      <w:r>
        <w:rPr>
          <w:rFonts w:ascii="仿宋_GB2312" w:hAnsi="仿宋_GB2312" w:eastAsia="仿宋_GB2312"/>
          <w:b w:val="0"/>
          <w:sz w:val="32"/>
        </w:rPr>
        <w:t>五是运用人工智能提升精准匹配能力，探索智能检索、跟踪反馈，并围绕政务、交通、公共安全、公共数据等领域主动挖掘发布场景机会。</w:t>
      </w:r>
    </w:p>
    <w:p>
      <w:pPr>
        <w:spacing w:lineRule="exact" w:line="560" w:before="0" w:after="0"/>
      </w:pPr>
      <w:r>
        <w:rPr>
          <w:rFonts w:ascii="仿宋_GB2312" w:hAnsi="仿宋_GB2312" w:eastAsia="仿宋_GB2312"/>
          <w:b w:val="0"/>
          <w:sz w:val="32"/>
        </w:rPr>
        <w:t>（信息来源：湖南日报10月26日《湘金轩丨以场景创新塑造湖南发展新优势》  https://m.voc.com.cn/xhn/news/202610/34083453.html）</w:t>
      </w:r>
    </w:p>
    <w:p/>
    <w:p>
      <w:pPr>
        <w:spacing w:lineRule="exact" w:line="560" w:before="0" w:after="0"/>
      </w:pPr>
      <w:r>
        <w:rPr>
          <w:rFonts w:ascii="SimHei" w:hAnsi="SimHei" w:eastAsia="黑体"/>
          <w:b/>
          <w:sz w:val="32"/>
        </w:rPr>
        <w:t>3. 打通科技成果转化"最后一公里"</w:t>
      </w:r>
    </w:p>
    <w:p>
      <w:pPr>
        <w:spacing w:lineRule="exact" w:line="560" w:before="0" w:after="0"/>
        <w:ind w:firstLine="640"/>
      </w:pPr>
      <w:r>
        <w:rPr>
          <w:rFonts w:ascii="仿宋_GB2312" w:hAnsi="仿宋_GB2312" w:eastAsia="仿宋_GB2312"/>
          <w:b w:val="0"/>
          <w:sz w:val="32"/>
        </w:rPr>
        <w:t>近日，河南省第二届高层次人才创新成果转化对接交流活动在漯河举行，多支高层次专家团队带来90余项前沿创新成果，覆盖现代食品、新材料、生物医药等重点赛道，近300名产学研代表共话成果落地。近年来，河南打出制度、平台、活动的组合拳，深耕细作成果转化。</w:t>
      </w:r>
    </w:p>
    <w:p>
      <w:pPr>
        <w:spacing w:lineRule="exact" w:line="560" w:before="0" w:after="0"/>
        <w:ind w:firstLine="640"/>
      </w:pPr>
      <w:r>
        <w:rPr>
          <w:rFonts w:ascii="仿宋_GB2312" w:hAnsi="仿宋_GB2312" w:eastAsia="仿宋_GB2312"/>
          <w:b w:val="0"/>
          <w:sz w:val="32"/>
        </w:rPr>
        <w:t>一是建立尽职免责容错机制。破除"不能转、不敢转、不会转、不好转"堵点，让科研人员吃下"定心丸"，化解科技成果转化的后顾之忧。</w:t>
      </w:r>
    </w:p>
    <w:p>
      <w:pPr>
        <w:spacing w:lineRule="exact" w:line="560" w:before="0" w:after="0"/>
        <w:ind w:firstLine="640"/>
      </w:pPr>
      <w:r>
        <w:rPr>
          <w:rFonts w:ascii="仿宋_GB2312" w:hAnsi="仿宋_GB2312" w:eastAsia="仿宋_GB2312"/>
          <w:b w:val="0"/>
          <w:sz w:val="32"/>
        </w:rPr>
        <w:t>二是扩容平台载体，布局中试基地与产业研究院。"十四五"期间省级中试基地落地转化成果超2000项，为实验室技术提供工程化熟化支撑。</w:t>
      </w:r>
    </w:p>
    <w:p>
      <w:pPr>
        <w:spacing w:lineRule="exact" w:line="560" w:before="0" w:after="0"/>
        <w:ind w:firstLine="640"/>
      </w:pPr>
      <w:r>
        <w:rPr>
          <w:rFonts w:ascii="仿宋_GB2312" w:hAnsi="仿宋_GB2312" w:eastAsia="仿宋_GB2312"/>
          <w:b w:val="0"/>
          <w:sz w:val="32"/>
        </w:rPr>
        <w:t>三是常态化举办人才成果对接活动。推行"揭榜挂帅""科技副总"等机制，推动高校院所走进企业车间，让企业难题成为科研选题，促进人才智力与产业需求双向奔赴。</w:t>
      </w:r>
    </w:p>
    <w:p>
      <w:pPr>
        <w:spacing w:lineRule="exact" w:line="560" w:before="0" w:after="0"/>
        <w:ind w:firstLine="640"/>
      </w:pPr>
      <w:r>
        <w:rPr>
          <w:rFonts w:ascii="仿宋_GB2312" w:hAnsi="仿宋_GB2312" w:eastAsia="仿宋_GB2312"/>
          <w:b w:val="0"/>
          <w:sz w:val="32"/>
        </w:rPr>
        <w:t>四是坚持"产业出题、科技答题"。把产业需求作为科研立项的出发点，用好院士对接、成果对接交流等平台，持续搭建院士专家、高校团队与企业面对面的桥梁，让创新资源精准滴灌产业一线。</w:t>
      </w:r>
    </w:p>
    <w:p>
      <w:pPr>
        <w:spacing w:lineRule="exact" w:line="560" w:before="0" w:after="0"/>
        <w:ind w:firstLine="640"/>
      </w:pPr>
      <w:r>
        <w:rPr>
          <w:rFonts w:ascii="仿宋_GB2312" w:hAnsi="仿宋_GB2312" w:eastAsia="仿宋_GB2312"/>
          <w:b w:val="0"/>
          <w:sz w:val="32"/>
        </w:rPr>
        <w:t>五是补齐中试短板，做强概念验证与中试熟化平台。完善科技金融配套，降低中小企业技术获取门槛；培育懂技术、懂市场的"科技红娘"，打通技术交易服务链条；持续落实成果转化激励政策，让科研人员从成果产业化中获得实实在在的回报。</w:t>
      </w:r>
    </w:p>
    <w:p>
      <w:pPr>
        <w:spacing w:lineRule="exact" w:line="560" w:before="0" w:after="0"/>
      </w:pPr>
      <w:r>
        <w:rPr>
          <w:rFonts w:ascii="仿宋_GB2312" w:hAnsi="仿宋_GB2312" w:eastAsia="仿宋_GB2312"/>
          <w:b w:val="0"/>
          <w:sz w:val="32"/>
        </w:rPr>
        <w:t>（信息来源：河南日报10月26日《打通科技成果转化"最后一公里"》  https://news.dahe.cn/2026/10-26/2145132.html）</w:t>
      </w:r>
    </w:p>
    <w:p/>
    <w:p>
      <w:pPr>
        <w:spacing w:lineRule="exact" w:line="560" w:before="0" w:after="0"/>
      </w:pPr>
      <w:r>
        <w:rPr>
          <w:rFonts w:ascii="SimHei" w:hAnsi="SimHei" w:eastAsia="黑体"/>
          <w:b/>
          <w:sz w:val="32"/>
        </w:rPr>
        <w:t>4. 花稿会"思考" 纱线万米不重色！滨州传统家纺AI赋能织出新可能</w:t>
      </w:r>
    </w:p>
    <w:p>
      <w:pPr>
        <w:spacing w:lineRule="exact" w:line="560" w:before="0" w:after="0"/>
        <w:ind w:firstLine="640"/>
      </w:pPr>
      <w:r>
        <w:rPr>
          <w:rFonts w:ascii="仿宋_GB2312" w:hAnsi="仿宋_GB2312" w:eastAsia="仿宋_GB2312"/>
          <w:b w:val="0"/>
          <w:sz w:val="32"/>
        </w:rPr>
        <w:t>当前，滨州民营经济正站在新的历史节点上，传统产业加速转型。10月26日，大众日报滨州新闻"黄河之滨·民企力量"报道聚焦纺织企业数智化转型。愉悦家纺正用人工智能和数字化技术，为传统纺织业长期面对的问题寻找新解，把积累多年的工艺经验转化为数据，把数字技术嵌入具体工序。</w:t>
      </w:r>
    </w:p>
    <w:p>
      <w:pPr>
        <w:spacing w:lineRule="exact" w:line="560" w:before="0" w:after="0"/>
        <w:ind w:firstLine="640"/>
      </w:pPr>
      <w:r>
        <w:rPr>
          <w:rFonts w:ascii="仿宋_GB2312" w:hAnsi="仿宋_GB2312" w:eastAsia="仿宋_GB2312"/>
          <w:b w:val="0"/>
          <w:sz w:val="32"/>
        </w:rPr>
        <w:t>一是搭建AIGC设计平台，引入生成式人工智能。2024年11月，企业搭建完成国内家纺行业首个深度融合人工智能技术的创新设计平台，依托AI生成引擎和家纺垂直领域知识库，构建包含642个细分风格模型的设计资源库；采用"AI设计师＋人类专家"协同模式，AI承担基础图案生成和风格适配，设计师负责创意构思与方案把关。平台上线一年生成原创设计图案近10万张，设计效率提升20倍，研发周期缩短40%。</w:t>
      </w:r>
    </w:p>
    <w:p>
      <w:pPr>
        <w:spacing w:lineRule="exact" w:line="560" w:before="0" w:after="0"/>
        <w:ind w:firstLine="640"/>
      </w:pPr>
      <w:r>
        <w:rPr>
          <w:rFonts w:ascii="仿宋_GB2312" w:hAnsi="仿宋_GB2312" w:eastAsia="仿宋_GB2312"/>
          <w:b w:val="0"/>
          <w:sz w:val="32"/>
        </w:rPr>
        <w:t>二是以AI重构分色与工艺资料环节。将分色流程拆解为任务派发、图像处理、自动组版等部分，系统综合花型难度、人员技能、订单交期进行智能派单，过去约1小时的派单工作如今1至2秒完成；建设花稿、生单、工艺流程、标准工序、工序工艺五大知识库，整理导入4.37万张花稿、约4500条审样记录，并梳理116条工艺流程、93个标准工序和224条工序工艺，核心资料推荐时间缩短至1分钟以内。</w:t>
      </w:r>
    </w:p>
    <w:p>
      <w:pPr>
        <w:spacing w:lineRule="exact" w:line="560" w:before="0" w:after="0"/>
        <w:ind w:firstLine="640"/>
      </w:pPr>
      <w:r>
        <w:rPr>
          <w:rFonts w:ascii="仿宋_GB2312" w:hAnsi="仿宋_GB2312" w:eastAsia="仿宋_GB2312"/>
          <w:b w:val="0"/>
          <w:sz w:val="32"/>
        </w:rPr>
        <w:t>三是研发智能数字化彩色纺纱技术。仅需10%至20%的色纤维即可调配目标色彩，较传统色纺纱工艺节水67%，通过在线检测与纠偏实现"万米不重色"与稳定品质控制。</w:t>
      </w:r>
    </w:p>
    <w:p>
      <w:pPr>
        <w:spacing w:lineRule="exact" w:line="560" w:before="0" w:after="0"/>
        <w:ind w:firstLine="640"/>
      </w:pPr>
      <w:r>
        <w:rPr>
          <w:rFonts w:ascii="仿宋_GB2312" w:hAnsi="仿宋_GB2312" w:eastAsia="仿宋_GB2312"/>
          <w:b w:val="0"/>
          <w:sz w:val="32"/>
        </w:rPr>
        <w:t>四是实施印染废水循环利用改造。搭建"工序间—跨车间—全厂"三级回用体系，自主研发膜处理技术实现碱水闭路循环复用，年节约新碱3150吨；建设日处理1.5万立方米的印染废水近零排放示范线，全厂水重复利用率达96%以上，年回用废水407万立方米。</w:t>
      </w:r>
    </w:p>
    <w:p>
      <w:pPr>
        <w:spacing w:lineRule="exact" w:line="560" w:before="0" w:after="0"/>
      </w:pPr>
      <w:r>
        <w:rPr>
          <w:rFonts w:ascii="仿宋_GB2312" w:hAnsi="仿宋_GB2312" w:eastAsia="仿宋_GB2312"/>
          <w:b w:val="0"/>
          <w:sz w:val="32"/>
        </w:rPr>
        <w:t>（信息来源：大众日报10月26日《花稿会"思考" 纱线万米不重色！滨州传统家纺AI赋能织出新可能》  https://new.qq.com/rain/a/20261026A036FI00）</w:t>
      </w:r>
    </w:p>
    <w:p/>
    <w:p>
      <w:pPr>
        <w:spacing w:lineRule="exact" w:line="560" w:before="0" w:after="0"/>
      </w:pPr>
      <w:r>
        <w:rPr>
          <w:rFonts w:ascii="SimHei" w:hAnsi="SimHei" w:eastAsia="黑体"/>
          <w:b/>
          <w:sz w:val="32"/>
        </w:rPr>
        <w:t>5. 织密保障网络 守护科创未来</w:t>
      </w:r>
    </w:p>
    <w:p>
      <w:pPr>
        <w:spacing w:lineRule="exact" w:line="560" w:before="0" w:after="0"/>
        <w:ind w:firstLine="640"/>
      </w:pPr>
      <w:r>
        <w:rPr>
          <w:rFonts w:ascii="仿宋_GB2312" w:hAnsi="仿宋_GB2312" w:eastAsia="仿宋_GB2312"/>
          <w:b w:val="0"/>
          <w:sz w:val="32"/>
        </w:rPr>
        <w:t>科技创新是挺进"无人区"。从实验室到商业化，研发失败、成果转化遇阻、市场应用出错，谁来为充满不确定性的创新链托底？广东聚焦"卡脖子"技术攻关与成果转化等关键环节，围绕量子科技、人工智能、低空经济、商业航天等前沿产业，加快构建全链条、多层次、可持续的科技保险体系。2026年1月至9月，广东保险业为各类科技活动风险提供保险保障1.27万亿元。</w:t>
      </w:r>
    </w:p>
    <w:p>
      <w:pPr>
        <w:spacing w:lineRule="exact" w:line="560" w:before="0" w:after="0"/>
        <w:ind w:firstLine="640"/>
      </w:pPr>
      <w:r>
        <w:rPr>
          <w:rFonts w:ascii="仿宋_GB2312" w:hAnsi="仿宋_GB2312" w:eastAsia="仿宋_GB2312"/>
          <w:b w:val="0"/>
          <w:sz w:val="32"/>
        </w:rPr>
        <w:t>一是推出细分前沿产业专属保险产品。今年7月，三家量子科技企业投保全国首单暨首批量子领域专属科技保险，保额超2500万元；此前已落地国内首款汽车芯片专属保险"强芯保"、全国首个低空飞行器专属保险"低空保"，以及"东数西算"粤港澳大湾区数据中心集群网络安全保险。</w:t>
      </w:r>
    </w:p>
    <w:p>
      <w:pPr>
        <w:spacing w:lineRule="exact" w:line="560" w:before="0" w:after="0"/>
        <w:ind w:firstLine="640"/>
      </w:pPr>
      <w:r>
        <w:rPr>
          <w:rFonts w:ascii="仿宋_GB2312" w:hAnsi="仿宋_GB2312" w:eastAsia="仿宋_GB2312"/>
          <w:b w:val="0"/>
          <w:sz w:val="32"/>
        </w:rPr>
        <w:t>二是将保险向研发中试前端延伸。2024年11月，全国首个技术研发应用综合保险落地佛山，覆盖成果转化失败的人员、材料、设备运维及服务费用；2025年，全国首批技术研发及中试综合保险落地季华实验室、仙湖实验室等，广东省首批重大科技攻关综合保险"穗创保"落地相关研究院与实验室。</w:t>
      </w:r>
    </w:p>
    <w:p>
      <w:pPr>
        <w:spacing w:lineRule="exact" w:line="560" w:before="0" w:after="0"/>
        <w:ind w:firstLine="640"/>
      </w:pPr>
      <w:r>
        <w:rPr>
          <w:rFonts w:ascii="仿宋_GB2312" w:hAnsi="仿宋_GB2312" w:eastAsia="仿宋_GB2312"/>
          <w:b w:val="0"/>
          <w:sz w:val="32"/>
        </w:rPr>
        <w:t>三是构建全生命周期保险接力体系。以具身智能机器人为例，研发小试阶段有"智研保"、研发应用综合保险，中试阶段有概念验证及中试费用损失险，量产及产业化后有专属保险覆盖财产、第三者责任与信息泄露，知识产权保险保障侵权维权风险，一系列保单沿创新链接力"陪跑"。</w:t>
      </w:r>
    </w:p>
    <w:p>
      <w:pPr>
        <w:spacing w:lineRule="exact" w:line="560" w:before="0" w:after="0"/>
        <w:ind w:firstLine="640"/>
      </w:pPr>
      <w:r>
        <w:rPr>
          <w:rFonts w:ascii="仿宋_GB2312" w:hAnsi="仿宋_GB2312" w:eastAsia="仿宋_GB2312"/>
          <w:b w:val="0"/>
          <w:sz w:val="32"/>
        </w:rPr>
        <w:t>四是制定示范条款、推行普惠产品与财政奖补。陆续发布人工智能系统责任保险、人体临床试验责任保险等示范性条款；推出"一城一策"普惠型综合科技保险（如"深圳惠科保"年保费9800元、起点保额550万元）；今年6月出台《广东省科技保险后奖补管理办法（试行）》，推出"粤科专项保"，对符合条件科技保险给予50%保费补贴，每年每市基础奖补最高500万元。</w:t>
      </w:r>
    </w:p>
    <w:p>
      <w:pPr>
        <w:spacing w:lineRule="exact" w:line="560" w:before="0" w:after="0"/>
        <w:ind w:firstLine="640"/>
      </w:pPr>
      <w:r>
        <w:rPr>
          <w:rFonts w:ascii="仿宋_GB2312" w:hAnsi="仿宋_GB2312" w:eastAsia="仿宋_GB2312"/>
          <w:b w:val="0"/>
          <w:sz w:val="32"/>
        </w:rPr>
        <w:t>五是组建共保体提升行业承接能力。今年5月，全国首个商业航天产业链共保体在深圳成立（17家保险主体），同月全国首个"人工智能产业保险共同体"在深圳河套发布；7月广东商业航天保险共保体在阳江成立（22家机构参与），保障覆盖火箭卫星制造发射、在轨运行等全周期。</w:t>
      </w:r>
    </w:p>
    <w:p>
      <w:pPr>
        <w:spacing w:lineRule="exact" w:line="560" w:before="0" w:after="0"/>
      </w:pPr>
      <w:r>
        <w:rPr>
          <w:rFonts w:ascii="仿宋_GB2312" w:hAnsi="仿宋_GB2312" w:eastAsia="仿宋_GB2312"/>
          <w:b w:val="0"/>
          <w:sz w:val="32"/>
        </w:rPr>
        <w:t>（信息来源：南方日报10月26日《织密保障网络 守护科创未来》  https://k.sina.com.cn/article_7517400647_1c0126e4705909davg.html）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