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120"/>
        <w:jc w:val="center"/>
      </w:pPr>
      <w:r>
        <w:rPr>
          <w:rFonts w:ascii="黑体" w:hAnsi="黑体" w:eastAsia="黑体" w:cs="黑体"/>
          <w:b/>
          <w:sz w:val="44"/>
        </w:rPr>
        <w:t>媒体信息摘报</w:t>
      </w:r>
    </w:p>
    <w:p>
      <w:pPr>
        <w:spacing w:lineRule="exact" w:line="560" w:before="0" w:after="200"/>
        <w:jc w:val="center"/>
      </w:pPr>
      <w:r>
        <w:rPr>
          <w:rFonts w:ascii="仿宋_GB2312" w:hAnsi="仿宋_GB2312" w:eastAsia="仿宋_GB2312" w:cs="仿宋_GB2312"/>
          <w:b w:val="0"/>
          <w:sz w:val="24"/>
        </w:rPr>
        <w:t>2026年7月21日（省级党报经济·科技·消费创新举措精选，福建省可借鉴）</w:t>
      </w:r>
    </w:p>
    <w:p>
      <w:pPr>
        <w:spacing w:lineRule="exact" w:line="560" w:before="200" w:after="80"/>
      </w:pPr>
      <w:r>
        <w:rPr>
          <w:rFonts w:ascii="黑体" w:hAnsi="黑体" w:eastAsia="黑体" w:cs="黑体"/>
          <w:b/>
          <w:sz w:val="32"/>
        </w:rPr>
        <w:t>1. 以赛聚客兴文旅 以味传情亮港城</w:t>
      </w:r>
    </w:p>
    <w:p>
      <w:pPr>
        <w:spacing w:lineRule="exact" w:line="560" w:before="0" w:after="80"/>
        <w:ind w:firstLine="640"/>
      </w:pPr>
      <w:r>
        <w:rPr>
          <w:rFonts w:ascii="仿宋_GB2312" w:hAnsi="仿宋_GB2312" w:eastAsia="仿宋_GB2312" w:cs="仿宋_GB2312"/>
          <w:b w:val="0"/>
          <w:sz w:val="32"/>
        </w:rPr>
        <w:t>7月18日晚，超过3.3万名观众涌入湛江奥体中心，再次刷新粤超联赛单场观赛人数纪录。湛江以粤BA、粤超赛事为契机，推动“体育+文化+旅游+餐饮”深度融合，将一张球票转化为串联全域消费链条的纽带，实现赛事“流量”向城市“留量”转化。</w:t>
      </w:r>
    </w:p>
    <w:p>
      <w:pPr>
        <w:spacing w:lineRule="exact" w:line="560" w:before="0" w:after="40"/>
        <w:ind w:firstLine="640"/>
      </w:pPr>
      <w:r>
        <w:rPr>
          <w:rFonts w:ascii="仿宋_GB2312" w:hAnsi="仿宋_GB2312" w:eastAsia="仿宋_GB2312" w:cs="仿宋_GB2312"/>
          <w:b w:val="0"/>
          <w:sz w:val="32"/>
        </w:rPr>
        <w:t>具体举措如下：</w:t>
      </w:r>
    </w:p>
    <w:p>
      <w:pPr>
        <w:spacing w:lineRule="exact" w:line="560" w:before="0" w:after="40"/>
        <w:ind w:firstLine="640"/>
      </w:pPr>
      <w:r>
        <w:rPr>
          <w:rFonts w:ascii="仿宋_GB2312" w:hAnsi="仿宋_GB2312" w:eastAsia="仿宋_GB2312" w:cs="仿宋_GB2312"/>
          <w:b w:val="0"/>
          <w:sz w:val="32"/>
        </w:rPr>
        <w:t>一是打造“票根经济”消费纽带。粤BA、粤超赛事周期内，湛江联动各大景区、连锁酒店、特色海鲜餐饮商家，推出球迷专属购票、消费优惠活动，引导观众从单纯“看一场球赛”延伸为“逛城市景点、打卡海鲜大餐、选购本地特产”，把赛场客流切实转化为文旅增收与城市留存消费。</w:t>
      </w:r>
    </w:p>
    <w:p>
      <w:pPr>
        <w:spacing w:lineRule="exact" w:line="560" w:before="0" w:after="40"/>
        <w:ind w:firstLine="640"/>
      </w:pPr>
      <w:r>
        <w:rPr>
          <w:rFonts w:ascii="仿宋_GB2312" w:hAnsi="仿宋_GB2312" w:eastAsia="仿宋_GB2312" w:cs="仿宋_GB2312"/>
          <w:b w:val="0"/>
          <w:sz w:val="32"/>
        </w:rPr>
        <w:t>二是中场展演植入本土文化。粤BA中场休息环节设置“农产品亮相秀”“湛江鲜·非遗宴”等特色展演，把湛江好物、民俗文化和烟火气搬进球场，让观众在篮球赛中读懂“劳动美”、感受“人情味”、品味“文化美”，持续擦亮“鲜美湛江”城市品牌。</w:t>
      </w:r>
    </w:p>
    <w:p>
      <w:pPr>
        <w:spacing w:lineRule="exact" w:line="560" w:before="0" w:after="40"/>
        <w:ind w:firstLine="640"/>
      </w:pPr>
      <w:r>
        <w:rPr>
          <w:rFonts w:ascii="仿宋_GB2312" w:hAnsi="仿宋_GB2312" w:eastAsia="仿宋_GB2312" w:cs="仿宋_GB2312"/>
          <w:b w:val="0"/>
          <w:sz w:val="32"/>
        </w:rPr>
        <w:t>三是激活沿线商圈与夜间消费。赛事热度带动奥体中心周边商圈、夜市小吃街客流显著上涨，场馆附近餐饮门店比赛当晚客流量较平日上涨约50%；引导观众赛后就近逛夜市、吃海鲜，将单场赛事延展为完整周末消费行程。</w:t>
      </w:r>
    </w:p>
    <w:p>
      <w:pPr>
        <w:spacing w:lineRule="exact" w:line="560" w:before="0" w:after="40"/>
        <w:ind w:firstLine="640"/>
      </w:pPr>
      <w:r>
        <w:rPr>
          <w:rFonts w:ascii="仿宋_GB2312" w:hAnsi="仿宋_GB2312" w:eastAsia="仿宋_GB2312" w:cs="仿宋_GB2312"/>
          <w:b w:val="0"/>
          <w:sz w:val="32"/>
        </w:rPr>
        <w:t>四是亲民平价门票降低门槛。粤BA、粤超秉持“为城市而战”理念，以亲民平价门票降低大众观赛成本，让普通市民走进专业球场为家乡球队呐喊，持续释放城市活力、拉动线下消费。</w:t>
      </w:r>
    </w:p>
    <w:p>
      <w:pPr>
        <w:spacing w:lineRule="exact" w:line="560" w:before="0" w:after="80"/>
        <w:ind w:firstLine="640"/>
      </w:pPr>
      <w:r>
        <w:rPr>
          <w:rFonts w:ascii="仿宋_GB2312" w:hAnsi="仿宋_GB2312" w:eastAsia="仿宋_GB2312" w:cs="仿宋_GB2312"/>
          <w:b w:val="0"/>
          <w:sz w:val="32"/>
        </w:rPr>
        <w:t>五是放大城市品牌声量。依托赛事直播、短视频与社交平台持续传播赛场内对抗、看台人浪与中场本土展演，把赛事热度转化为“鲜美湛江”城市新名片，吸引外地游客因一场球认识湛江、读懂湛江。</w:t>
      </w:r>
    </w:p>
    <w:p>
      <w:pPr>
        <w:spacing w:lineRule="exact" w:line="560" w:before="40" w:after="160"/>
      </w:pPr>
      <w:r>
        <w:rPr>
          <w:rFonts w:ascii="仿宋_GB2312" w:hAnsi="仿宋_GB2312" w:eastAsia="仿宋_GB2312" w:cs="仿宋_GB2312"/>
          <w:b w:val="0"/>
          <w:sz w:val="32"/>
        </w:rPr>
        <w:t>（信息来源：南方日报7月21日《以赛聚客兴文旅 以味传情亮港城》  https://epaper.nfnews.com/nfdaily/html/202607/21/content_10176317.html?origin=4）</w:t>
      </w:r>
    </w:p>
    <w:p>
      <w:pPr>
        <w:spacing w:lineRule="exact" w:line="560" w:before="200" w:after="80"/>
      </w:pPr>
      <w:r>
        <w:rPr>
          <w:rFonts w:ascii="黑体" w:hAnsi="黑体" w:eastAsia="黑体" w:cs="黑体"/>
          <w:b/>
          <w:sz w:val="32"/>
        </w:rPr>
        <w:t>2. 一块“试验田”让好技术扎根</w:t>
      </w:r>
    </w:p>
    <w:p>
      <w:pPr>
        <w:spacing w:lineRule="exact" w:line="560" w:before="0" w:after="80"/>
        <w:ind w:firstLine="640"/>
      </w:pPr>
      <w:r>
        <w:rPr>
          <w:rFonts w:ascii="仿宋_GB2312" w:hAnsi="仿宋_GB2312" w:eastAsia="仿宋_GB2312" w:cs="仿宋_GB2312"/>
          <w:b w:val="0"/>
          <w:sz w:val="32"/>
        </w:rPr>
        <w:t>无锡市针对技术型创业公司“有技术、缺场景”的普遍困境，由市发展改革委场景科牵头、场景创新促进中心具体运作，探索从“点对点对接”到“全链条支撑”的场景开放新模式，将国有企业产线、医院等真实场景开放给初创企业做中试验证，破解新技术“没地方试”的落地难题。</w:t>
      </w:r>
    </w:p>
    <w:p>
      <w:pPr>
        <w:spacing w:lineRule="exact" w:line="560" w:before="0" w:after="40"/>
        <w:ind w:firstLine="640"/>
      </w:pPr>
      <w:r>
        <w:rPr>
          <w:rFonts w:ascii="仿宋_GB2312" w:hAnsi="仿宋_GB2312" w:eastAsia="仿宋_GB2312" w:cs="仿宋_GB2312"/>
          <w:b w:val="0"/>
          <w:sz w:val="32"/>
        </w:rPr>
        <w:t>具体举措如下：</w:t>
      </w:r>
    </w:p>
    <w:p>
      <w:pPr>
        <w:spacing w:lineRule="exact" w:line="560" w:before="0" w:after="40"/>
        <w:ind w:firstLine="640"/>
      </w:pPr>
      <w:r>
        <w:rPr>
          <w:rFonts w:ascii="仿宋_GB2312" w:hAnsi="仿宋_GB2312" w:eastAsia="仿宋_GB2312" w:cs="仿宋_GB2312"/>
          <w:b w:val="0"/>
          <w:sz w:val="32"/>
        </w:rPr>
        <w:t>一是建立场景创新促进机制。无锡市发展改革委设立场景科，组建场景创新促进中心，在日常摸排中识别新技术应用“场景荒”，主动对接技术团队与有开放场景意愿的国企，推动项目“成双赢”。</w:t>
      </w:r>
    </w:p>
    <w:p>
      <w:pPr>
        <w:spacing w:lineRule="exact" w:line="560" w:before="0" w:after="40"/>
        <w:ind w:firstLine="640"/>
      </w:pPr>
      <w:r>
        <w:rPr>
          <w:rFonts w:ascii="仿宋_GB2312" w:hAnsi="仿宋_GB2312" w:eastAsia="仿宋_GB2312" w:cs="仿宋_GB2312"/>
          <w:b w:val="0"/>
          <w:sz w:val="32"/>
        </w:rPr>
        <w:t>二是开放国企产线供中试验证。无锡一棉长江车间向格罗瑞联合深圳技术团队研发的柔性搬运机器人开放核心产线，用于搬运上百公斤重棉条桶的中试；项目去年下半年入驻中试，今年3月全面跑通量产流程，成立江苏格罗瑞予智机器人公司，获锡创投500万元投资，并收获新疆、山西等地订单。</w:t>
      </w:r>
    </w:p>
    <w:p>
      <w:pPr>
        <w:spacing w:lineRule="exact" w:line="560" w:before="0" w:after="40"/>
        <w:ind w:firstLine="640"/>
      </w:pPr>
      <w:r>
        <w:rPr>
          <w:rFonts w:ascii="仿宋_GB2312" w:hAnsi="仿宋_GB2312" w:eastAsia="仿宋_GB2312" w:cs="仿宋_GB2312"/>
          <w:b w:val="0"/>
          <w:sz w:val="32"/>
        </w:rPr>
        <w:t>三是开放民生场景验证产品。无锡市康复医院向远也科技研发的踝关节训练器“乐开踝”开放临床应用场景，使外骨骼产品在真实患者试穿中迭代优化，由“实验室技术”走向“市场可用产品”。</w:t>
      </w:r>
    </w:p>
    <w:p>
      <w:pPr>
        <w:spacing w:lineRule="exact" w:line="560" w:before="0" w:after="40"/>
        <w:ind w:firstLine="640"/>
      </w:pPr>
      <w:r>
        <w:rPr>
          <w:rFonts w:ascii="仿宋_GB2312" w:hAnsi="仿宋_GB2312" w:eastAsia="仿宋_GB2312" w:cs="仿宋_GB2312"/>
          <w:b w:val="0"/>
          <w:sz w:val="32"/>
        </w:rPr>
        <w:t>四是构建全链条支撑体系。从技术对接、说服企业开放场景，到奔走投资机构解读项目不可替代性，形成“场景开放—中试验证—资本对接—产业化”闭环，让好技术真正扎下根来。</w:t>
      </w:r>
    </w:p>
    <w:p>
      <w:pPr>
        <w:spacing w:lineRule="exact" w:line="560" w:before="0" w:after="80"/>
        <w:ind w:firstLine="640"/>
      </w:pPr>
      <w:r>
        <w:rPr>
          <w:rFonts w:ascii="仿宋_GB2312" w:hAnsi="仿宋_GB2312" w:eastAsia="仿宋_GB2312" w:cs="仿宋_GB2312"/>
          <w:b w:val="0"/>
          <w:sz w:val="32"/>
        </w:rPr>
        <w:t>五是储备前瞻场景项目。场景创新促进中心在日常论坛、路演中持续发掘机器人皮肤等前沿技术团队，主动匹配具备开放条件的国企与医疗机构，将更多“差点夭折”的项目接入真实场景，形成场景供需常态化对接。</w:t>
      </w:r>
    </w:p>
    <w:p>
      <w:pPr>
        <w:spacing w:lineRule="exact" w:line="560" w:before="40" w:after="160"/>
      </w:pPr>
      <w:r>
        <w:rPr>
          <w:rFonts w:ascii="仿宋_GB2312" w:hAnsi="仿宋_GB2312" w:eastAsia="仿宋_GB2312" w:cs="仿宋_GB2312"/>
          <w:b w:val="0"/>
          <w:sz w:val="32"/>
        </w:rPr>
        <w:t>（信息来源：新华日报7月21日《一块“试验田”让好技术扎根》  https://xh.xhby.net/pad/con/202607/21/content_1573966.html）</w:t>
      </w:r>
    </w:p>
    <w:p>
      <w:pPr>
        <w:spacing w:lineRule="exact" w:line="560" w:before="200" w:after="80"/>
      </w:pPr>
      <w:r>
        <w:rPr>
          <w:rFonts w:ascii="黑体" w:hAnsi="黑体" w:eastAsia="黑体" w:cs="黑体"/>
          <w:b/>
          <w:sz w:val="32"/>
        </w:rPr>
        <w:t>3. 深耕经典IP，走出数字“取经路”</w:t>
      </w:r>
    </w:p>
    <w:p>
      <w:pPr>
        <w:spacing w:lineRule="exact" w:line="560" w:before="0" w:after="80"/>
        <w:ind w:firstLine="640"/>
      </w:pPr>
      <w:r>
        <w:rPr>
          <w:rFonts w:ascii="仿宋_GB2312" w:hAnsi="仿宋_GB2312" w:eastAsia="仿宋_GB2312" w:cs="仿宋_GB2312"/>
          <w:b w:val="0"/>
          <w:sz w:val="32"/>
        </w:rPr>
        <w:t>连云港海州区依托“西游”经典IP，于7月18日晚在海州体育馆启幕“花果山下·AIGC西游共创之夜”，并以“OPC全球共创计划·西游神话AIGC主题创意大赛”为抓手，探索“西游IP+AIGC+OPC社区”创新运转模式，推动文创赛事从创意征集走向产业转化。</w:t>
      </w:r>
    </w:p>
    <w:p>
      <w:pPr>
        <w:spacing w:lineRule="exact" w:line="560" w:before="0" w:after="40"/>
        <w:ind w:firstLine="640"/>
      </w:pPr>
      <w:r>
        <w:rPr>
          <w:rFonts w:ascii="仿宋_GB2312" w:hAnsi="仿宋_GB2312" w:eastAsia="仿宋_GB2312" w:cs="仿宋_GB2312"/>
          <w:b w:val="0"/>
          <w:sz w:val="32"/>
        </w:rPr>
        <w:t>具体举措如下：</w:t>
      </w:r>
    </w:p>
    <w:p>
      <w:pPr>
        <w:spacing w:lineRule="exact" w:line="560" w:before="0" w:after="40"/>
        <w:ind w:firstLine="640"/>
      </w:pPr>
      <w:r>
        <w:rPr>
          <w:rFonts w:ascii="仿宋_GB2312" w:hAnsi="仿宋_GB2312" w:eastAsia="仿宋_GB2312" w:cs="仿宋_GB2312"/>
          <w:b w:val="0"/>
          <w:sz w:val="32"/>
        </w:rPr>
        <w:t>一是举办AIGC主题创意大赛。西游神话AIGC主题创意大赛于今年2月底启动，打破专业创作壁垒，面向全社会征集作品；截至5月31日共征集7280件作品，参与人数7794人，抖音相关话题播放量超3237万次，大量“草根选手”凭奇思妙想站上领奖台。</w:t>
      </w:r>
    </w:p>
    <w:p>
      <w:pPr>
        <w:spacing w:lineRule="exact" w:line="560" w:before="0" w:after="40"/>
        <w:ind w:firstLine="640"/>
      </w:pPr>
      <w:r>
        <w:rPr>
          <w:rFonts w:ascii="仿宋_GB2312" w:hAnsi="仿宋_GB2312" w:eastAsia="仿宋_GB2312" w:cs="仿宋_GB2312"/>
          <w:b w:val="0"/>
          <w:sz w:val="32"/>
        </w:rPr>
        <w:t>二是以赛促产推动签约转化。活动现场多项签约与成果发布，海州文旅集团与多家头部企业共建数字文化产业生态，多个影视项目完成AI内容合作签约，8个优秀获奖项目对接本地文旅平台推进商业化，并将办赛运营经验向外输出。</w:t>
      </w:r>
    </w:p>
    <w:p>
      <w:pPr>
        <w:spacing w:lineRule="exact" w:line="560" w:before="0" w:after="40"/>
        <w:ind w:firstLine="640"/>
      </w:pPr>
      <w:r>
        <w:rPr>
          <w:rFonts w:ascii="仿宋_GB2312" w:hAnsi="仿宋_GB2312" w:eastAsia="仿宋_GB2312" w:cs="仿宋_GB2312"/>
          <w:b w:val="0"/>
          <w:sz w:val="32"/>
        </w:rPr>
        <w:t>三是搭建AI创作与共创平台。上线悟空AI创作暨西游共创平台，同步开放西游数字文化艺术展，清晰呈现从一行提示词到完整作品、从个人创意到社区共创的全链路，并发布数字文化共创生态研究报告。</w:t>
      </w:r>
    </w:p>
    <w:p>
      <w:pPr>
        <w:spacing w:lineRule="exact" w:line="560" w:before="0" w:after="40"/>
        <w:ind w:firstLine="640"/>
      </w:pPr>
      <w:r>
        <w:rPr>
          <w:rFonts w:ascii="仿宋_GB2312" w:hAnsi="仿宋_GB2312" w:eastAsia="仿宋_GB2312" w:cs="仿宋_GB2312"/>
          <w:b w:val="0"/>
          <w:sz w:val="32"/>
        </w:rPr>
        <w:t>四是复制OPC社区运营模式。依托“西游IP+AIGC+OPC社区”运转模式，让普通人创意得以放大，该模式将向多城复制，为IP活化、产业场景落地、社区运营提供示范。</w:t>
      </w:r>
    </w:p>
    <w:p>
      <w:pPr>
        <w:spacing w:lineRule="exact" w:line="560" w:before="0" w:after="80"/>
        <w:ind w:firstLine="640"/>
      </w:pPr>
      <w:r>
        <w:rPr>
          <w:rFonts w:ascii="仿宋_GB2312" w:hAnsi="仿宋_GB2312" w:eastAsia="仿宋_GB2312" w:cs="仿宋_GB2312"/>
          <w:b w:val="0"/>
          <w:sz w:val="32"/>
        </w:rPr>
        <w:t>五是降低创作参与门槛。赛事面向非专业爱好者开放，借AIGC工具让全职妈妈、在校学生等“草根选手”以一行提示词参与共创，使文创从专业圈层走向大众，并为后续授权、分成兑现商业价值埋下伏笔。海州区将办赛运营经验系统化输出，推动数字文创从单次活动升级为可持续产业。</w:t>
      </w:r>
    </w:p>
    <w:p>
      <w:pPr>
        <w:spacing w:lineRule="exact" w:line="560" w:before="40" w:after="160"/>
      </w:pPr>
      <w:r>
        <w:rPr>
          <w:rFonts w:ascii="仿宋_GB2312" w:hAnsi="仿宋_GB2312" w:eastAsia="仿宋_GB2312" w:cs="仿宋_GB2312"/>
          <w:b w:val="0"/>
          <w:sz w:val="32"/>
        </w:rPr>
        <w:t>（信息来源：新华日报7月21日《深耕经典IP，走出数字“取经路”》  https://xh.xhby.net/pad/con/202607/21/content_1573992.html）</w:t>
      </w:r>
    </w:p>
    <w:p>
      <w:pPr>
        <w:spacing w:lineRule="exact" w:line="560" w:before="200" w:after="80"/>
      </w:pPr>
      <w:r>
        <w:rPr>
          <w:rFonts w:ascii="黑体" w:hAnsi="黑体" w:eastAsia="黑体" w:cs="黑体"/>
          <w:b/>
          <w:sz w:val="32"/>
        </w:rPr>
        <w:t>4. “县里说了算”！湖南重磅改革：13项省级权限下放经济大县</w:t>
      </w:r>
    </w:p>
    <w:p>
      <w:pPr>
        <w:spacing w:lineRule="exact" w:line="560" w:before="0" w:after="80"/>
        <w:ind w:firstLine="640"/>
      </w:pPr>
      <w:r>
        <w:rPr>
          <w:rFonts w:ascii="仿宋_GB2312" w:hAnsi="仿宋_GB2312" w:eastAsia="仿宋_GB2312" w:cs="仿宋_GB2312"/>
          <w:b w:val="0"/>
          <w:sz w:val="32"/>
        </w:rPr>
        <w:t>近日，湖南省发展改革委印发《湖南省“向县放权”实施方案》，坚持精准赋能、宜放则放、权责一致、保障有力、闭环管理五大原则，依法依规向经济大县下放权力、赋予资源，增强县级统筹经济社会发展自主权与决策能力，提升政务服务效能与营商环境水平。</w:t>
      </w:r>
    </w:p>
    <w:p>
      <w:pPr>
        <w:spacing w:lineRule="exact" w:line="560" w:before="0" w:after="40"/>
        <w:ind w:firstLine="640"/>
      </w:pPr>
      <w:r>
        <w:rPr>
          <w:rFonts w:ascii="仿宋_GB2312" w:hAnsi="仿宋_GB2312" w:eastAsia="仿宋_GB2312" w:cs="仿宋_GB2312"/>
          <w:b w:val="0"/>
          <w:sz w:val="32"/>
        </w:rPr>
        <w:t>具体举措如下：</w:t>
      </w:r>
    </w:p>
    <w:p>
      <w:pPr>
        <w:spacing w:lineRule="exact" w:line="560" w:before="0" w:after="40"/>
        <w:ind w:firstLine="640"/>
      </w:pPr>
      <w:r>
        <w:rPr>
          <w:rFonts w:ascii="仿宋_GB2312" w:hAnsi="仿宋_GB2312" w:eastAsia="仿宋_GB2312" w:cs="仿宋_GB2312"/>
          <w:b w:val="0"/>
          <w:sz w:val="32"/>
        </w:rPr>
        <w:t>一是建立全链条闭环管理体系。对经济大县依法赋予省级或市级同等管理权限，法律法规未禁止且县级能有效承接的事项应放尽放，并建立“需求征集—论证—下放—运行监测—评估—调整”全链条闭环管理体系，确保放权务实管用。</w:t>
      </w:r>
    </w:p>
    <w:p>
      <w:pPr>
        <w:spacing w:lineRule="exact" w:line="560" w:before="0" w:after="40"/>
        <w:ind w:firstLine="640"/>
      </w:pPr>
      <w:r>
        <w:rPr>
          <w:rFonts w:ascii="仿宋_GB2312" w:hAnsi="仿宋_GB2312" w:eastAsia="仿宋_GB2312" w:cs="仿宋_GB2312"/>
          <w:b w:val="0"/>
          <w:sz w:val="32"/>
        </w:rPr>
        <w:t>二是直接下放13项省级行政许可。省本级“向县放权”事项目录共涉及13项行政许可事项：省住房城乡建设厅将房屋面积管理及房产测绘成果审核、备案等直接下放；省交通运输厅将公路建设项目设计文件审批等6项直接下放；省水利厅将水利基建项目初步设计文件审批（一、二、三级堤防工程）等直接下放；省林业局将矿藏勘查、开采及其他工程建设占用林地审核（林地面积1公顷以下）等4项，分别以委托或直接下放方式下放至相关县市区。</w:t>
      </w:r>
    </w:p>
    <w:p>
      <w:pPr>
        <w:spacing w:lineRule="exact" w:line="560" w:before="0" w:after="40"/>
        <w:ind w:firstLine="640"/>
      </w:pPr>
      <w:r>
        <w:rPr>
          <w:rFonts w:ascii="仿宋_GB2312" w:hAnsi="仿宋_GB2312" w:eastAsia="仿宋_GB2312" w:cs="仿宋_GB2312"/>
          <w:b w:val="0"/>
          <w:sz w:val="32"/>
        </w:rPr>
        <w:t>三是列出市级放权建议目录。同步列出建议市级“向县放权”的20项事项目录，涵盖发改、自然资源、住建、交通、卫健、林业、市场监管等领域，包括固定资产投资项目节能审查（不含两高项目）、消防验收（区建区管项目）、食品（不含特殊食品）生产许可核发（限低风险）等。</w:t>
      </w:r>
    </w:p>
    <w:p>
      <w:pPr>
        <w:spacing w:lineRule="exact" w:line="560" w:before="0" w:after="40"/>
        <w:ind w:firstLine="640"/>
      </w:pPr>
      <w:r>
        <w:rPr>
          <w:rFonts w:ascii="仿宋_GB2312" w:hAnsi="仿宋_GB2312" w:eastAsia="仿宋_GB2312" w:cs="仿宋_GB2312"/>
          <w:b w:val="0"/>
          <w:sz w:val="32"/>
        </w:rPr>
        <w:t>四是压实承接与过渡保障。承接县（市、区）自事项目录公布之日起30日内制定承接工作方案，全面推行一窗受理、集成服务、网上办理、一网通办；省级放权职能部门须提供实操培训与政策解读，对专业技术强的下放事项设置不超过6个月的过渡期，确保基层“接得住、办得好”。</w:t>
      </w:r>
    </w:p>
    <w:p>
      <w:pPr>
        <w:spacing w:lineRule="exact" w:line="560" w:before="40" w:after="160"/>
      </w:pPr>
      <w:r>
        <w:rPr>
          <w:rFonts w:ascii="仿宋_GB2312" w:hAnsi="仿宋_GB2312" w:eastAsia="仿宋_GB2312" w:cs="仿宋_GB2312"/>
          <w:b w:val="0"/>
          <w:sz w:val="32"/>
        </w:rPr>
        <w:t>（信息来源：湖南日报7月21日《“县里说了算”！湖南重磅改革：13项省级权限下放经济大县》  https://view.inews.qq.com/a/20260721A00F2C00）</w:t>
      </w:r>
    </w:p>
    <w:p>
      <w:pPr>
        <w:spacing w:lineRule="exact" w:line="560" w:before="200" w:after="80"/>
      </w:pPr>
      <w:r>
        <w:rPr>
          <w:rFonts w:ascii="黑体" w:hAnsi="黑体" w:eastAsia="黑体" w:cs="黑体"/>
          <w:b/>
          <w:sz w:val="32"/>
        </w:rPr>
        <w:t>5. 电白44项行动 点燃省运会消费热</w:t>
      </w:r>
    </w:p>
    <w:p>
      <w:pPr>
        <w:spacing w:lineRule="exact" w:line="560" w:before="0" w:after="80"/>
        <w:ind w:firstLine="640"/>
      </w:pPr>
      <w:r>
        <w:rPr>
          <w:rFonts w:ascii="仿宋_GB2312" w:hAnsi="仿宋_GB2312" w:eastAsia="仿宋_GB2312" w:cs="仿宋_GB2312"/>
          <w:b w:val="0"/>
          <w:sz w:val="32"/>
        </w:rPr>
        <w:t>广东省第十七届运动会开幕在即，作为赛事重要承办地，电白区年初印发《精彩省运会魅力新电白专项行动方案》，牵头推进44项体育消费专项行动，推动赛事“流量”转化为城市“留量”。截至目前已完成30项，14项按计划有序推进。</w:t>
      </w:r>
    </w:p>
    <w:p>
      <w:pPr>
        <w:spacing w:lineRule="exact" w:line="560" w:before="0" w:after="40"/>
        <w:ind w:firstLine="640"/>
      </w:pPr>
      <w:r>
        <w:rPr>
          <w:rFonts w:ascii="仿宋_GB2312" w:hAnsi="仿宋_GB2312" w:eastAsia="仿宋_GB2312" w:cs="仿宋_GB2312"/>
          <w:b w:val="0"/>
          <w:sz w:val="32"/>
        </w:rPr>
        <w:t>具体举措如下：</w:t>
      </w:r>
    </w:p>
    <w:p>
      <w:pPr>
        <w:spacing w:lineRule="exact" w:line="560" w:before="0" w:after="40"/>
        <w:ind w:firstLine="640"/>
      </w:pPr>
      <w:r>
        <w:rPr>
          <w:rFonts w:ascii="仿宋_GB2312" w:hAnsi="仿宋_GB2312" w:eastAsia="仿宋_GB2312" w:cs="仿宋_GB2312"/>
          <w:b w:val="0"/>
          <w:sz w:val="32"/>
        </w:rPr>
        <w:t>一是推行“凭票根消费享优惠”。聚焦体育城市联赛，电白区推动水东商圈开展“凭票根消费享优惠”活动，联动20余家商户及20余家住宿餐饮企业推出专属优惠；省运会吉祥物IP公仔已免费配送至18家酒店，摆放于大堂、电梯口等显眼位置；区科工商务局汇总优惠信息，通过微信公众号、政府网站统一发布，并在高铁站、赛事场馆设置宣传展架。</w:t>
      </w:r>
    </w:p>
    <w:p>
      <w:pPr>
        <w:spacing w:lineRule="exact" w:line="560" w:before="0" w:after="40"/>
        <w:ind w:firstLine="640"/>
      </w:pPr>
      <w:r>
        <w:rPr>
          <w:rFonts w:ascii="仿宋_GB2312" w:hAnsi="仿宋_GB2312" w:eastAsia="仿宋_GB2312" w:cs="仿宋_GB2312"/>
          <w:b w:val="0"/>
          <w:sz w:val="32"/>
        </w:rPr>
        <w:t>二是开展大宗商品促消费。汽车领域组织品牌车企走进工业园区试驾，在观珠镇举办惠民购车节，1—6月汽车行业营业总额达5.3亿元；家电领域承接国家以旧换新及广东优品购政策，联合区总工会开展干部职工专场优惠，重点家电企业上半年销售额超8500万元。</w:t>
      </w:r>
    </w:p>
    <w:p>
      <w:pPr>
        <w:spacing w:lineRule="exact" w:line="560" w:before="0" w:after="40"/>
        <w:ind w:firstLine="640"/>
      </w:pPr>
      <w:r>
        <w:rPr>
          <w:rFonts w:ascii="仿宋_GB2312" w:hAnsi="仿宋_GB2312" w:eastAsia="仿宋_GB2312" w:cs="仿宋_GB2312"/>
          <w:b w:val="0"/>
          <w:sz w:val="32"/>
        </w:rPr>
        <w:t>三是推进文旅体融合。正式运营“云上南清”，串联构建“体育+”农文旅线路4条；在首届奇楠沉香产业博览会发布“浪漫电白”文旅IP；推动云上南清、旦俚民宿申报省市级等级民宿，南海街道完成12家民宿证申领。</w:t>
      </w:r>
    </w:p>
    <w:p>
      <w:pPr>
        <w:spacing w:lineRule="exact" w:line="560" w:before="0" w:after="40"/>
        <w:ind w:firstLine="640"/>
      </w:pPr>
      <w:r>
        <w:rPr>
          <w:rFonts w:ascii="仿宋_GB2312" w:hAnsi="仿宋_GB2312" w:eastAsia="仿宋_GB2312" w:cs="仿宋_GB2312"/>
          <w:b w:val="0"/>
          <w:sz w:val="32"/>
        </w:rPr>
        <w:t>四是谋划全链条服务保障。省运会前后组织3场家电展销、“汽车进商圈”微车展、“山海迎省运·好车惠万家”汽车下乡、体育用品促消费专场等活动；开幕期间水东商圈开展“迎省运·全城购”大型惠民活动，覆盖吃住行游购娱全链条；市场监管部门对场馆周边经营主体全覆盖巡查，严打价格欺诈。</w:t>
      </w:r>
    </w:p>
    <w:p>
      <w:pPr>
        <w:spacing w:lineRule="exact" w:line="560" w:before="40" w:after="160"/>
      </w:pPr>
      <w:r>
        <w:rPr>
          <w:rFonts w:ascii="仿宋_GB2312" w:hAnsi="仿宋_GB2312" w:eastAsia="仿宋_GB2312" w:cs="仿宋_GB2312"/>
          <w:b w:val="0"/>
          <w:sz w:val="32"/>
        </w:rPr>
        <w:t>（信息来源：南方日报7月21日《电白44项行动 点燃省运会消费热》  https://k.sina.com.cn/article_7517400647_1c0126e4705908uyvs.html）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