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 w:line="56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媒体信息摘报</w:t>
      </w:r>
    </w:p>
    <w:p>
      <w:pPr>
        <w:spacing w:after="200" w:before="0" w:line="560" w:lineRule="exact"/>
        <w:jc w:val="center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2026年7月29日</w:t>
      </w:r>
    </w:p>
    <w:p>
      <w:pPr>
        <w:spacing w:after="200" w:before="200"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本期摘报精选5条省级党报经济·科技·消费类新闻（福建省除外），聚焦各地创新举措与可借鉴做法，供决策参考。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创新金融普惠，打造差异化特色标杆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财政部近日公布2026年中央财政支持普惠金融发展示范区名单，江苏泰州、常熟、张家港三市入选，累计入选城市数量全国领先。一是张家港以知识产权金融拓宽科创企业融资渠道。该市自2021年系统推进知识产权金融服务创新，2025年知识产权质押融资总额首破100亿元，连续4年位列江苏县市区第一，先后落地全国县级市首支知识产权证券化产品、全国首笔数字人民币知识产权质押贷款、全国首单数据知识产权“变现”全链条业务、全省首单数据知识产权被侵权损失险，累计助力500多家科创企业通过知识产权获得融资超200亿元。苏州华赛生物对1件核心专利开展价值评估，获得银行1400万元贷款，专项投入技术迭代研发与产品升级。二是常熟以财政贴息撬动制造业投资。在省级贴息2个百分点基础上再配套1个点贴息资金，形成省市县协同、惠企直达、精准撬动机制，截至2025年底贴息项目个数和金额均位列全省县级市第一，三级财政累计贴息资金超亿元，助力企业审批授信、签订贷款合同总额145亿元。三是泰州首创多项转型金融工具。针对传统高碳行业低碳改造需求，落地全国首笔“科技积分评价+转型金融”贷款，为船舶制造、有色金属、电力三大重点行业发放省内首单专项转型金融贷款，全省首单“气象贷”、生物多样性生态农业贷款相继落地，以多元化绿色金融产品支持区域产业低碳转型。</w:t>
      </w:r>
    </w:p>
    <w:p>
      <w:pPr>
        <w:spacing w:after="400" w:before="10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（信息来源：新华日报7月29日《创新金融普惠，打造差异化特色标杆》  https://xh.xhby.net/pad/con/202607/29/content_1576521.html）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科创“满天星”育出创新“共生林”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徐州市泉山区作为徐州科创大走廊“北翼”，以“一核多点”科创空间体系发展壮大数字产业链。一是细分片区功能建强载体。以江苏淮海科技城为核心枢纽，西接珠山数字经济产业园，园区北片集聚数字文化产业，南片布局人工智能赛道并配套生活社区；数字经济产业园二期11万平方米新载体预计2027年初投用，同步推进智慧化改造；珠山园区低空一体化服务平台已在物流配送、城市巡检等场景落地应用。二是以链主企业带动主体培育。网易、华为、字节跳动等头部企业相继落户，数字经济企业增长至近5000家；今年拟申报35家高新技术企业，完成5家瞪羚企业、1家潜在独角兽企业申报推荐，第一批科技型中小企业拟公示73家；已累计入驻数字文化企业118家，产业总产值突破20亿元。三是布局OPC社区承接“超级个体”创业。江苏淮海科技城布局建设四大OPC社区矩阵，已集聚40多个优质OPC创业项目；矿大科技园OPC社区依托国家级大学科技园，4000余平方米孵化空间免费向师生开放，注册、法务、政策申报均有专人代办，实现“零成本”起步。四是强化金融与配套保障。今年1—5月通过“苏科贷”为16家科技型企业发放贷款4175万元；云络智服算力平台、渲染农场等基础设施陆续投用，青年社区、人才公寓持续优化居住配套；深化校地融合，依托全区近8万名在校大学生打通“研发—孵化—加速—产业化”全链条人才培育与项目孵化通道。</w:t>
      </w:r>
    </w:p>
    <w:p>
      <w:pPr>
        <w:spacing w:after="400" w:before="10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（信息来源：新华日报7月29日《科创“满天星”育出创新“共生林”》  https://xh.xhby.net/pc/con/202607/29/content_1576471.html）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敏捷智造架起转化桥 破解样机“落地难”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天津市打通科技成果从实验室到生产线全链条，以敏捷智造破解科创项目“样机落地难”。一是搭建公共服务平台体系。市科技局推动建设天津市敏捷智造公共服务平台，构建“两中心、一服务站”一体化创新服务体系，打通研发设计、快速成型、批量试制、质量检测、市场对接完整创新链条。二是三级载体错位互补。依托天津光电集团建设市区敏捷智造中心，主攻概念验证、原型机打造、小批量个性化试制；依托津亚电子打造滨海新区敏捷智造中心，聚焦中试放大、规模化量产验证；在天开园核心区设立公共服务站，统一承接企业需求、匹配制造资源、预约设备、对接工艺咨询，覆盖科技成果从创意到量产全生命周期。三是系统整合全市制造资源。科创团队提交需求后由服务站精准分流，两大智造中心根据项目成熟度提供差异化工程化服务，同步联动高校院所、制造工厂、产业园区与专业服务机构，为不同阶段成果匹配适配路径，压缩初创团队自建产线、反复试错成本，盘活制造企业闲置设备与供应链能力。四是以专题研讨精准对接企业需求。举办第五期天开大讲堂“敏捷破局 柔性智造”专题讲座，300余名企业负责人、科研人员围绕可靠性测试资源对接、研发过程提前对接工艺质量人员、不同阶段需求同一平台连续服务等具体诉求现场交流，作为平台持续优化服务、补齐工程化验证短板的发力方向。</w:t>
      </w:r>
    </w:p>
    <w:p>
      <w:pPr>
        <w:spacing w:after="400" w:before="10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（信息来源：天津日报7月29日《敏捷智造架起转化桥 破解样机“落地难”》  https://epaper.tianjinwe.com/tjrb/html/2026-07/29/content_143078_3683171.htm）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创新奔涌 动力向新！解码湖南湘江新区新质生产力“拔节生长”的三层逻辑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湖南湘江新区以创新策源、产业转化、生态赋能三层递进路径培育新质生产力。一是高强度投入锻造原始创新底座。“十四五”期间年均全社会研发投入强度突破7.5%，居国家级新区首位；省级以上创新平台达1009家，五年新培育高新技术企业843家，占全省近四分之一；湘江科学城规划面积153.65平方千米，聚焦计算、材料、能源、生命、空天五大科学领域，统筹铺排重点项目110余个，招引落地研发中心项目70余个；累计开发“首字号”“最字号”技术和产品115项。二是打通实验室到生产线转化通道。举办先进装备制造产业链供需对接会，现场发布需求50余项、总金额超20亿元，两大国家级制造业数字化转型促进中心揭牌，11家企业获评省先进级智能工厂；中联智慧产业城AI场景应用率超80%，从钢板下料到整机下线仅需6.5天；“2+4+N”产业体系相关企业营收占比升至85.09%，优质潜力企业增至7263家。三是构建全要素创新生态。湖南金融中心累计入驻994家基金企业，注册认缴总规模达4670亿元，新区设立200亿元产业发展母基金；“柳枝行动”十年支持729家科创企业，“红枫计划”培育111个优质项目、带动3.1亿元社会资本投入早期项目；首创“科技总监”“产业教授”选聘制度，首批认定101名“科技总监”和115名“产业教授”；人才支持基金总规模达20亿元，聚焦科技成果转化“0—1”阶段，单个项目最高投资1000万元；通过省市级赋权享有超5600项权限。</w:t>
      </w:r>
    </w:p>
    <w:p>
      <w:pPr>
        <w:spacing w:after="400" w:before="10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（信息来源：湖南日报7月29日《创新奔涌 动力向新！解码湖南湘江新区新质生产力“拔节生长”的三层逻辑》  https://changsha.voc.com.cn/news/202607/33311965.html）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APEC数字周落地成都！千年之后，四川筑起一座“数字都江堰”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APEC数字周在成都举行，500余名代表参会，四川以系统性举措构建“绿电+算力+产业”数字经济发展路径。一是完善政策制度供给。将人工智能列为省“一号创新工程”，印发国家数字经济创新发展试验区建设重点任务清单，同步出台市（州）改革“揭榜挂帅”清单；出台《关于支持数字经济高质量发展的若干政策措施》，从6大方面提出17条措施；研究组建四川数据集团并挂牌运营；在全国率先开展数字化应用场景实验室认定，在低空经济、医疗健康、电子信息等重点领域认定首批6家场景实验室；已认定5批、87家数字化转型促进中心，链接服务企业超31.3万家。二是推进算电融合发展。全省水风光发电总装机近1.4亿千瓦，建成全国首个高海拔岩洞式算力舱智算中心，实现全年100%绿电直供，PUE值稳定控制在1.2以下；谋划算电融合项目11个，总投资近700亿元，规划算力规模约149EFLOPS；制定算力设施优化布局提质建设和算电融合发展三年实施方案、推进算力网建设的若干意见，构建“算力建设—算力运营—算力应用”全链条政策支持体系。三是培育人工智能产业生态。全省已培育人工智能企业1900余家，链主企业扩容至13家，涵盖算力、数据集与语料库、基础硬件、大模型、智能终端等核心领域，70余项关键核心技术实现突破。四是拓展开放应用场景。成都入选境外人员入境数字化服务便利性提升专项行动首批试点，境外银行卡可在公交、地铁闸机“即刷即乘”，离境退税最快3分钟办结；绵阳依托全省首个RCEP外贸企业服务中心，整合海关、税务、贸促会等10余个涉外部门资源，为企业提供“一站式”全链条服务。</w:t>
      </w:r>
    </w:p>
    <w:p>
      <w:pPr>
        <w:spacing w:after="400" w:before="10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（信息来源：封面新闻7月29日《APEC数字周落地成都！千年之后，四川筑起一座“数字都江堰”》  https://www.163.com/dy/article/L2VCO0NJ0514D3UH.html）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2026-07-29T00:08:41.727Z</dcterms:created>
  <dcterms:modified xsi:type="dcterms:W3CDTF">2026-07-29T00:08:41.727Z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