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560" w:lineRule="exact"/>
      </w:pPr>
      <w:r>
        <w:rPr>
          <w:rFonts w:ascii="黑体" w:hAnsi="黑体" w:eastAsia="黑体"/>
          <w:b/>
          <w:sz w:val="32"/>
        </w:rPr>
        <w:t>6月18日媒体信息摘报</w:t>
      </w:r>
    </w:p>
    <w:p>
      <w:pPr>
        <w:spacing w:before="120"/>
        <w:spacing w:line="560" w:lineRule="exact"/>
      </w:pPr>
      <w:r>
        <w:rPr>
          <w:rFonts w:ascii="仿宋_GB2312" w:hAnsi="仿宋_GB2312" w:eastAsia="仿宋_GB2312"/>
          <w:b/>
          <w:sz w:val="32"/>
        </w:rPr>
        <w:t>广东省6G产业创新发展联盟成立  粤港澳携手打造全国6G创新发展示范高地</w:t>
      </w:r>
    </w:p>
    <w:p>
      <w:pPr>
        <w:ind w:firstLine="640"/>
        <w:spacing w:line="560" w:lineRule="exact"/>
      </w:pPr>
      <w:r>
        <w:rPr>
          <w:rFonts w:ascii="仿宋_GB2312" w:hAnsi="仿宋_GB2312" w:eastAsia="仿宋_GB2312"/>
          <w:sz w:val="32"/>
        </w:rPr>
        <w:t>6月17日，广东省6G产业创新发展联盟在广州揭牌，近30家发起单位覆盖6G全产业链，将整合粤港澳三地资源，打造全国6G创新发展示范高地。6G技术需打通空天地海、融合通信感知并内嵌人工智能，联盟联动广东各地市、高校、科研院所及港澳相关机构和行业企业，充分发挥粤港澳大湾区优势。具体举措：一是搭建全产业链协同平台。近30家发起单位涵盖高校、科研机构、运营商及关键器件、设备终端、卫星通信和各类场景应用企业，完整覆盖技术研发、标准制定、产品制造、场景落地的全链条。二是强化粤港澳三地协同分工。广东加强研发协同与6G试验协同，促进新一代通信技术迭代升级，加强产业研发培育，打造特色产业集群；香港强化科创“软联通”，构建“香港研发—湾区转化—全国落地—全球输出”创新链条，推动基建“硬联通”建设高速跨境通信网络；澳门推动5G—A升级部署，启动6G频谱规划研究，营造对标国际的法治环境。三是深耕重点场景推动标准转化。立足产业优势，深耕工业制造、具身智能、智能网联汽车、低空经济、智慧海洋等领域，打造示范场景，推动技术成果转化为行业标准。四是锚定三大技术方向攻关。围绕空天地海全域覆盖、通感一体深度融合（助力智能驾驶、智慧城市、低空经济等领域实现厘米级精准定位和实时监测）、AI与通信原生融合（6G网络内嵌智能服务能力，从单一通信走向通、导、算、智一体化）三大趋势集中攻关。</w:t>
      </w:r>
    </w:p>
    <w:p>
      <w:pPr>
        <w:ind w:firstLine="640"/>
        <w:spacing w:line="560" w:lineRule="exact"/>
      </w:pPr>
      <w:r>
        <w:rPr>
          <w:rFonts w:ascii="仿宋_GB2312" w:hAnsi="仿宋_GB2312" w:eastAsia="仿宋_GB2312"/>
          <w:sz w:val="32"/>
        </w:rPr>
        <w:t>（信息来源：南方日报6月18日《广东省6G产业创新发展联盟成立》  https://epaper.nfnews.com/nfdaily/html/202606/18/content_10173473.html）</w:t>
      </w:r>
    </w:p>
    <w:p>
      <w:pPr>
        <w:spacing w:before="120"/>
        <w:spacing w:line="560" w:lineRule="exact"/>
      </w:pPr>
      <w:r>
        <w:rPr>
          <w:rFonts w:ascii="仿宋_GB2312" w:hAnsi="仿宋_GB2312" w:eastAsia="仿宋_GB2312"/>
          <w:b/>
          <w:sz w:val="32"/>
        </w:rPr>
        <w:t>全国首份蓝色金融省级团体标准发布</w:t>
      </w:r>
    </w:p>
    <w:p>
      <w:pPr>
        <w:ind w:firstLine="640"/>
        <w:spacing w:line="560" w:lineRule="exact"/>
      </w:pPr>
      <w:r>
        <w:rPr>
          <w:rFonts w:ascii="仿宋_GB2312" w:hAnsi="仿宋_GB2312" w:eastAsia="仿宋_GB2312"/>
          <w:sz w:val="32"/>
        </w:rPr>
        <w:t>6月17日，金融支持广州南沙深化面向世界的粤港澳全面合作工作推进会在南沙召开，会上发布全国首份蓝色金融省级团体标准《广东省蓝色产业金融支持指南》（下称《指南》），推出“南沙金融30条”落地一年来的45项金融创新成果，并完成共计210亿元授信金额的蓝色金融项目集中签约。45项金融创新成果涵盖金融支持现代化产业体系建设、金融服务社会民生、发展特色金融业态、金融支持大湾区市场互联互通、金融支持高水平对外开放五大领域，涉及政策性银行、国有控股商业银行、港澳台和外资银行、证券公司、期货交易所、基金管理公司、保险公司、融资租赁公司、金融科技企业等各类金融机构及市场主体。具体举措：一是推出多个“全国首单”标杆项目。广州期货交易所推出全球首个实现锭、海绵、粉多形态交割的铂、钯期货产品，进一步完善新能源金属期货体系；会上还发布了全国首单ESG数据跨境交易、全国首笔“气候投融资+乡村振兴”双挂钩保理贷款、全国地方国企首单“粤港澳大湾区+科技创新”公司债券等一批首创业务。二是制定蓝色金融分类支持标准。《指南》围绕蓝色经济全产业链设置五大核心支持板块：传统海洋产业低碳转型板块（涵盖海洋渔业、沿海滩涂种植业、海洋水产品加工业等10个重点领域）、海洋新兴和未来产业培育板块（涵盖海洋矿业、海洋工程装备制造业、海洋新材料制造、海洋空天产业等8个重点领域）、海洋生态环境保护修复板块（聚焦海洋生态保护与修复、蓝色碳汇4个重点领域）、海洋产业配套服务板块（包含海洋技术服务和科研服务2个领域）、海洋低碳产品贸易与消费板块（聚焦海洋水产品贸易、绿色船舶贸易等6个重点领域）。三是推动蓝色金融银企对接落地。在《指南》指引下，完成蓝色金融银企集中签约23个项目，授信金额合计210亿元，覆盖广州、湛江、佛山、汕头、汕尾、珠海、惠州、中山、江门、阳江、揭阳、茂名等12个市，签约内容覆盖船舶制造、港口物流、海上新能源、水产养殖等重点领域。四是建立信息披露机制。鼓励金融机构结合目录所涉行业和相关政策要求，围绕推动海洋可持续发展开展金融产品和服务创新，根据实际建立信息披露机制，选择重要蓝色产业金融支持指标，通过适当方式开展信息披露。</w:t>
      </w:r>
    </w:p>
    <w:p>
      <w:pPr>
        <w:ind w:firstLine="640"/>
        <w:spacing w:line="560" w:lineRule="exact"/>
      </w:pPr>
      <w:r>
        <w:rPr>
          <w:rFonts w:ascii="仿宋_GB2312" w:hAnsi="仿宋_GB2312" w:eastAsia="仿宋_GB2312"/>
          <w:sz w:val="32"/>
        </w:rPr>
        <w:t>（信息来源：南方日报6月18日《全国首份蓝色金融省级团体标准发布》  https://epaper.nfnews.com/nfdaily/html/202606/18/content_10173475.html）</w:t>
      </w:r>
    </w:p>
    <w:p>
      <w:pPr>
        <w:spacing w:before="120"/>
        <w:spacing w:line="560" w:lineRule="exact"/>
      </w:pPr>
      <w:r>
        <w:rPr>
          <w:rFonts w:ascii="仿宋_GB2312" w:hAnsi="仿宋_GB2312" w:eastAsia="仿宋_GB2312"/>
          <w:b/>
          <w:sz w:val="32"/>
        </w:rPr>
        <w:t>构建全方位全过程为企服务新生态  汕尾以政务服务“增值化”改革破题</w:t>
      </w:r>
    </w:p>
    <w:p>
      <w:pPr>
        <w:ind w:firstLine="640"/>
        <w:spacing w:line="560" w:lineRule="exact"/>
      </w:pPr>
      <w:r>
        <w:rPr>
          <w:rFonts w:ascii="仿宋_GB2312" w:hAnsi="仿宋_GB2312" w:eastAsia="仿宋_GB2312"/>
          <w:sz w:val="32"/>
        </w:rPr>
        <w:t>当减材料、减时间、减跑动已成为营商环境的“基础服务包”，汕尾以政务服务“增值化”改革破题，围绕企业全生命周期与全产业链条，重塑政府、社会、市场三侧协同的服务格局，把传统“便捷服务”向全方位“增值服务”迭代升级。2025年汕尾全市新登记经营主体超7万户，同比增长32.96%，其中新登记企业14177户。具体举措：一是设立企业综合服务中心。率先在粤东粤西粤北推出“增值化”改革，设立企业综合服务中心，设置“企呼我应”服务台、“三链一体”服务专区、洽谈服务区，配备企业服务专员，实现企业需求“一口”受理、流转、督办、反馈，推行预约服务、帮办代办服务、全程跟单服务。该中心整合市、城区两级涉企服务资源，推动1038项涉企服务“一厅汇聚、一站办理”。二是编制服务事项清单。形成《汕尾市企业综合服务中心服务事项清单》，整合经营主体需求强烈、关联度高的高频政务服务和增值服务事项，覆盖10个领域197项服务，其中56项为增值服务，如“水电气网联合报装靠前服务”“涉企律师援助业务”等。三是推行全生命周期全代办服务。配备14名代办专员，覆盖企业从开办落地、项目审批、建设投产到经营发展全生命周期，涵盖企业注册、项目备案、工程建设审批、不动产权证办理等高频刚需场景，涉及4个审批流程86个审批事项，提供材料报送、协调催办、跟踪反馈、结果交付等服务；已为499家企业525个投资项目提供数字化全代办服务，协助超60家经营主体申报创业补贴等补助资金903.53万元，帮助65家企业申请融资资金56.02亿元。四是对接产业园区开展前置服务。针对园区项目配备一对一专属代办专员，企业项目签约后主动提前对接，上门开展政策宣讲、流程辅导，提前梳理所需材料、预判办理难点，全程跟进每一个审批环节。</w:t>
      </w:r>
    </w:p>
    <w:p>
      <w:pPr>
        <w:ind w:firstLine="640"/>
        <w:spacing w:line="560" w:lineRule="exact"/>
      </w:pPr>
      <w:r>
        <w:rPr>
          <w:rFonts w:ascii="仿宋_GB2312" w:hAnsi="仿宋_GB2312" w:eastAsia="仿宋_GB2312"/>
          <w:sz w:val="32"/>
        </w:rPr>
        <w:t>（信息来源：南方日报6月18日《构建全方位全过程为企服务新生态》  https://epaper.nfnews.com/nfdaily/html/202606/18/content_10173477.html）</w:t>
      </w:r>
    </w:p>
    <w:p>
      <w:pPr>
        <w:spacing w:before="120"/>
        <w:spacing w:line="560" w:lineRule="exact"/>
      </w:pPr>
      <w:r>
        <w:rPr>
          <w:rFonts w:ascii="仿宋_GB2312" w:hAnsi="仿宋_GB2312" w:eastAsia="仿宋_GB2312"/>
          <w:b/>
          <w:sz w:val="32"/>
        </w:rPr>
        <w:t>海关出口涉检货物优化监管改革试点落地广东</w:t>
      </w:r>
    </w:p>
    <w:p>
      <w:pPr>
        <w:ind w:firstLine="640"/>
        <w:spacing w:line="560" w:lineRule="exact"/>
      </w:pPr>
      <w:r>
        <w:rPr>
          <w:rFonts w:ascii="仿宋_GB2312" w:hAnsi="仿宋_GB2312" w:eastAsia="仿宋_GB2312"/>
          <w:sz w:val="32"/>
        </w:rPr>
        <w:t>日前，海关出口涉检货物优化监管改革试点落地广东，全国首票放行货物经黄埔海关、深圳海关监管，从深圳湾口岸顺利出境。目前改革试点在供港澳短保质期食品、加工食品和供港蔬菜等领域先行落地，助力保障更多新鲜、优质产品在粤港澳三地便捷流通。具体举措：一是将监管前置嵌入企业生产经营全流程。以往企业出口需先向海关申请检验检疫，取得合格结果后方可申报，通关环节多、等待时间长；改革后，海关将监管前置嵌入企业生产经营和物流过程，依托“产品检验、年度监督检查、通报调查、风险监控、企业信用管理”五项机制相结合的全程可追溯体系，用信息透明换取通关便利，实现“管得住、放得快”的监管目标。二是建立从生产到出口的全过程可追溯闭环。海关通过产品检验把控出厂质量、年度监督检查动态评估合规情况、通报调查快速响应风险预警、风险监控实施常态化数据监测、企业信用管理实施差异化监管，构建覆盖企业出厂产品从生产到出口全链条的闭环监管链条，推动监管模式从末端查验向过程管控转型。三是优先覆盖通关时效要求高的生鲜食品领域。改革试点率先在供港澳短保质期食品、加工食品和供港蔬菜等对时效要求突出的品类落地，有效缩短新鲜、优质产品从出厂到出境的时间差，助力保障粤港澳三地“菜篮子”安全便捷流通。四是显著压缩企业通关时间。企业从申报前准备到申报、查验、放行全流程，较改革前节省2至3天，发货速度提升50%以上，直接降低企业的仓储成本和物流等待成本。</w:t>
      </w:r>
    </w:p>
    <w:p>
      <w:pPr>
        <w:ind w:firstLine="640"/>
        <w:spacing w:line="560" w:lineRule="exact"/>
      </w:pPr>
      <w:r>
        <w:rPr>
          <w:rFonts w:ascii="仿宋_GB2312" w:hAnsi="仿宋_GB2312" w:eastAsia="仿宋_GB2312"/>
          <w:sz w:val="32"/>
        </w:rPr>
        <w:t>（信息来源：南方日报6月18日《海关出口涉检货物优化监管改革试点落地广东》  https://epaper.nfnews.com/nfdaily/html/202606/18/content_10173481.html）</w:t>
      </w:r>
    </w:p>
    <w:p>
      <w:pPr>
        <w:spacing w:before="120"/>
        <w:spacing w:line="560" w:lineRule="exact"/>
      </w:pPr>
      <w:r>
        <w:rPr>
          <w:rFonts w:ascii="仿宋_GB2312" w:hAnsi="仿宋_GB2312" w:eastAsia="仿宋_GB2312"/>
          <w:b/>
          <w:sz w:val="32"/>
        </w:rPr>
        <w:t>江苏以实践作答“发展与减碳”——5年间GDP连跨4个万亿台阶、单位GDP能耗累计降幅17.6%</w:t>
      </w:r>
    </w:p>
    <w:p>
      <w:pPr>
        <w:ind w:firstLine="640"/>
        <w:spacing w:line="560" w:lineRule="exact"/>
      </w:pPr>
      <w:r>
        <w:rPr>
          <w:rFonts w:ascii="仿宋_GB2312" w:hAnsi="仿宋_GB2312" w:eastAsia="仿宋_GB2312"/>
          <w:sz w:val="32"/>
        </w:rPr>
        <w:t>6月17日是全国低碳日，江苏省生态环境厅、发展改革委、工信厅联合发布“十四五”应对气候变化成果：5年间，江苏地区生产总值连跨4个万亿元台阶，全省单位GDP能耗累计降幅17.6%，超额完成14.0%的既定管控目标。具体举措：一是推动能源产业换“绿装”。截至2025年，全省非化石能源装机占比升至54.3%，海上风电装机1349万千瓦、分布式光伏装机6401万千瓦，两项装机规模均位列全国第一；累计培育能效领跑企业15家，创建国家级绿色工厂770家、绿色工业园区70家，获评数量均稳居全国首位。二是出台零碳园区建设标准体系。在全国率先推出省级地方标准《零碳园区建设指南》，清晰划定园区从零碳规划到落地运营全流程操作细则；无锡、徐州等地同步配套出台本地建设行动方案，搭建“省级标准统筹、地市细化落地、园区特色创新”三级联动推进体系。探索“一对多绿电直供”创新模式，依托电网架构集中引入海上风电、光伏绿电统一输送给园区企业，降低用电成本同时大幅减少碳排放；搭建省级零碳园区培育库，35家省级以上开发区择优入库，加速探索差异化降碳路径。三是建立零碳工厂梯度评价体系。出台零碳（近零碳）工厂评价体系，要求企业自主减排比例须达50%以上，剩余碳排放须100%完成碳抵消，申报主体须为省级及以上绿色工厂；80分及以上认定为“零碳工厂”，70分至80分认定为“近零碳工厂”，2025年评出首批30家省级零碳（近零碳）工厂；下一步将建立“储备培育、精准辅导、提质升级”梯度培育库，聚焦汽车、锂电池、光伏等重点行业靶向培育，全力备战国家级零碳工厂申报。四是搭建全省产品碳足迹公共服务平台。该平台是国内首个通过英国标准化协会认证的省级碳足迹核算平台，兼容国际主流核算规则，企业完成的碳核算、碳认证可获得国际认可；平台落地江苏政务云，率先应用区块链技术对每份碳足迹报告和碳标识上链存证，构建省级本土数据库，贴合江苏产业特点设计核算标准；截至5月底，平台入驻服务商141家、注册企业1660家，出具核算报告1061份，出具认证证书467份，发放碳标识334个；聚焦电池、光伏、钢铁等优势产业绘制产业链碳图谱，以南京钢铁等链主企业为龙头带动供应商实施绿色改造和碳足迹管理。</w:t>
      </w:r>
    </w:p>
    <w:p>
      <w:pPr>
        <w:ind w:firstLine="640"/>
        <w:spacing w:line="560" w:lineRule="exact"/>
      </w:pPr>
      <w:r>
        <w:rPr>
          <w:rFonts w:ascii="仿宋_GB2312" w:hAnsi="仿宋_GB2312" w:eastAsia="仿宋_GB2312"/>
          <w:sz w:val="32"/>
        </w:rPr>
        <w:t>（信息来源：新华日报6月18日《江苏以实践作答“发展与减碳”——5年间GDP连跨4个万亿台阶、单位GDP能耗累计降幅17.6%》  https://xh.xhby.net/pc/con/202606/18/content_1564386.html）</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