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sz w:val="24"/>
        </w:rPr>
        <w:t>（2026年6月4日）</w:t>
      </w:r>
    </w:p>
    <w:p>
      <w:pPr>
        <w:spacing w:before="0" w:after="160" w:line="560" w:lineRule="exact"/>
        <w:ind w:firstLine="420"/>
        <w:jc w:val="left"/>
      </w:pPr>
      <w:r>
        <w:rPr>
          <w:rFonts w:ascii="仿宋_GB2312" w:hAnsi="仿宋_GB2312" w:eastAsia="仿宋_GB2312"/>
          <w:b w:val="0"/>
          <w:sz w:val="32"/>
        </w:rPr>
        <w:t>现将今日省级官方媒体刊发的国资国企改革、城市建设、经济发展、科技创新、民生保障等领域创新举措摘报如下，供决策参考。</w:t>
      </w:r>
    </w:p>
    <w:p>
      <w:pPr>
        <w:spacing w:before="120" w:after="80" w:line="560" w:lineRule="exact"/>
        <w:ind w:firstLine="0"/>
      </w:pPr>
      <w:r>
        <w:rPr>
          <w:rFonts w:ascii="黑体" w:hAnsi="黑体" w:eastAsia="黑体"/>
          <w:b/>
          <w:sz w:val="32"/>
        </w:rPr>
        <w:t>一是天津市印发港产城融合发展政策措施</w:t>
      </w:r>
    </w:p>
    <w:p>
      <w:pPr>
        <w:spacing w:before="0" w:after="80"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天津市人民政府办公厅印发《天津市推动港产城融合发展若干政策措施》，聚焦港口、产业、城市三维联动，提出15条具体举措。一是强化港口枢纽功能，巩固提升天津港作为京津冀海上门户功能，拓展集装箱班轮航线，推进智慧港口建设，提升通关便利化水平。二是壮大临港产业集群，重点发展航运服务、现代物流、高端装备制造、海洋工程装备等产业，打造北方国际航运核心区。三是优化城市服务功能，完善滨海新区城市配套，提升教育、医疗、文化等公共服务水平，增强对航运人才和港口从业人员的吸引力。四是完善政策保障体系，统筹财政资金、产业基金、金融信贷等支持渠道，对港产城融合重点项目给予用地、用能、审批等倾斜支持。</w:t>
      </w:r>
    </w:p>
    <w:p>
      <w:pPr>
        <w:spacing w:before="0" w:after="160" w:line="560" w:lineRule="exact"/>
        <w:ind w:firstLine="0"/>
      </w:pPr>
      <w:r>
        <w:rPr>
          <w:rFonts w:ascii="仿宋_GB2312" w:hAnsi="仿宋_GB2312" w:eastAsia="仿宋_GB2312"/>
          <w:b w:val="0"/>
          <w:color w:val="0000FF"/>
          <w:sz w:val="24"/>
        </w:rPr>
        <w:t>来源：天津日报（2026年6月4日） 链接：https://epaper.tianjinwe.com/tjrb/html/2026-06/04/content_143078_3501255.htm</w:t>
      </w:r>
    </w:p>
    <w:p>
      <w:pPr>
        <w:spacing w:before="120" w:after="80" w:line="560" w:lineRule="exact"/>
        <w:ind w:firstLine="0"/>
      </w:pPr>
      <w:r>
        <w:rPr>
          <w:rFonts w:ascii="黑体" w:hAnsi="黑体" w:eastAsia="黑体"/>
          <w:b/>
          <w:sz w:val="32"/>
        </w:rPr>
        <w:t>二是天津市部署新一轮国资国企改革重点任务</w:t>
      </w:r>
    </w:p>
    <w:p>
      <w:pPr>
        <w:spacing w:before="0" w:after="80"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天津市召开全市国有企业改革深化提升工作会议，部署新一轮国资国企改革重点任务。一是优化国有资本布局结构，推动国有资本向关系国家安全、国民经济命脉的重要行业和关键领域集中，向公共服务、应急能力、公益性领域集中。二是健全市场化经营机制，全面推行经理层成员任期制和契约化管理，完善市场化选人用人机制，健全差异化薪酬分配制度。三是深化混合所有制改革，依法依规推进竞争性领域商业类国有企业混合所有制改革，支持符合条件的国有企业通过整体上市、员工持股等方式深化改革。四是提升国资监管效能，完善以管资本为主的国有资产监管体制，健全违规经营投资责任追究制度，强化境外国有资产监管。</w:t>
      </w:r>
    </w:p>
    <w:p>
      <w:pPr>
        <w:spacing w:before="0" w:after="160" w:line="560" w:lineRule="exact"/>
        <w:ind w:firstLine="0"/>
      </w:pPr>
      <w:r>
        <w:rPr>
          <w:rFonts w:ascii="仿宋_GB2312" w:hAnsi="仿宋_GB2312" w:eastAsia="仿宋_GB2312"/>
          <w:b w:val="0"/>
          <w:color w:val="0000FF"/>
          <w:sz w:val="24"/>
        </w:rPr>
        <w:t>来源：天津日报（2026年6月4日） 链接：https://epaper.tianjinwe.com/tjrb/html/2026-06/04/content_143078_3501256.htm</w:t>
      </w:r>
    </w:p>
    <w:p>
      <w:pPr>
        <w:spacing w:before="120" w:after="80" w:line="560" w:lineRule="exact"/>
        <w:ind w:firstLine="0"/>
      </w:pPr>
      <w:r>
        <w:rPr>
          <w:rFonts w:ascii="黑体" w:hAnsi="黑体" w:eastAsia="黑体"/>
          <w:b/>
          <w:sz w:val="32"/>
        </w:rPr>
        <w:t>三是天津市滨海新区发布科技创新引领产业创新若干措施</w:t>
      </w:r>
    </w:p>
    <w:p>
      <w:pPr>
        <w:spacing w:before="0" w:after="80"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天津市滨海新区发布《滨海新区科技创新引领产业创新若干措施》，围绕京津冀协同创新、成果转化、企业培育等方面提出系统性支持政策。一是强化京津冀协同创新，依托滨海—中关村科技园、北理工前沿技术研究院等平台，推动北京科技创新资源在滨海新区落地转化，建立跨区域科技成果供需对接机制。二是支持企业创新主体培育，对首次认定的高新技术企业给予50万元奖励，对重新认定的给予30万元奖励，支持企业建设重点实验室、技术创新中心等创新平台。三是完善科技成果转化机制，支持高校院所科研人员携带科技成果在滨海新区创办企业，给予最高500万元项目资助，对技术合同成交额排名前列的企业给予奖励。四是优化创新创业生态，建设一批低成本、便利化、全要素的众创空间，对符合条件的创新创业载体给予运营补贴，完善科技金融服务体系。</w:t>
      </w:r>
    </w:p>
    <w:p>
      <w:pPr>
        <w:spacing w:before="0" w:after="160" w:line="560" w:lineRule="exact"/>
        <w:ind w:firstLine="0"/>
      </w:pPr>
      <w:r>
        <w:rPr>
          <w:rFonts w:ascii="仿宋_GB2312" w:hAnsi="仿宋_GB2312" w:eastAsia="仿宋_GB2312"/>
          <w:b w:val="0"/>
          <w:color w:val="0000FF"/>
          <w:sz w:val="24"/>
        </w:rPr>
        <w:t>来源：天津日报（2026年6月4日） 链接：https://epaper.tianjinwe.com/tjrb/html/2026-06/04/content_143078_3501257.htm</w:t>
      </w:r>
    </w:p>
    <w:p>
      <w:pPr>
        <w:spacing w:before="120" w:after="80" w:line="560" w:lineRule="exact"/>
        <w:ind w:firstLine="0"/>
      </w:pPr>
      <w:r>
        <w:rPr>
          <w:rFonts w:ascii="黑体" w:hAnsi="黑体" w:eastAsia="黑体"/>
          <w:b/>
          <w:sz w:val="32"/>
        </w:rPr>
        <w:t>四是天津市出台新就业群体住房保障和子女入学新政策</w:t>
      </w:r>
    </w:p>
    <w:p>
      <w:pPr>
        <w:spacing w:before="0" w:after="80"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天津市出台《关于做好新就业群体服务保障工作的若干措施》，聚焦外卖骑手、快递员、网约车司机等新就业群体，在住房保障、子女入学、职业技能提升等方面推出创新举措。一是完善住房保障政策，将在津稳定就业的新就业群体纳入保障性住房申请范围，对在津连续缴纳社保满6个月的新就业人员，可申购保障性租赁住房，租金标准按市场租金的70%执行。二是保障子女平等入学权利，新就业群体随迁子女在津接受义务教育，由居住地所在区教育行政部门统筹安排公办学校就读，不得收取国家规定以外的任何费用。三是提升职业技能水平，支持新就业群体参加职业技能培训，对取得职业资格证书的给予培训补贴，补贴标准最高为3000元/人。四是健全权益保障和公共服务体系，完善新就业群体参加社会保险政策，扩大工伤保险覆盖面，建设一批"暖心驿站"提供休息、饮水、充电等便民服务。</w:t>
      </w:r>
    </w:p>
    <w:p>
      <w:pPr>
        <w:spacing w:before="0" w:after="160" w:line="560" w:lineRule="exact"/>
        <w:ind w:firstLine="0"/>
      </w:pPr>
      <w:r>
        <w:rPr>
          <w:rFonts w:ascii="仿宋_GB2312" w:hAnsi="仿宋_GB2312" w:eastAsia="仿宋_GB2312"/>
          <w:b w:val="0"/>
          <w:color w:val="0000FF"/>
          <w:sz w:val="24"/>
        </w:rPr>
        <w:t>来源：天津日报（2026年6月4日） 链接：https://epaper.tianjinwe.com/tjrb/html/2026-06/04/content_143078_3501259.htm</w:t>
      </w:r>
    </w:p>
    <w:p>
      <w:pPr>
        <w:spacing w:before="120" w:after="80" w:line="560" w:lineRule="exact"/>
        <w:ind w:firstLine="0"/>
      </w:pPr>
      <w:r>
        <w:rPr>
          <w:rFonts w:ascii="黑体" w:hAnsi="黑体" w:eastAsia="黑体"/>
          <w:b/>
          <w:sz w:val="32"/>
        </w:rPr>
        <w:t>五是国家发展改革委召开国有企业改革座谈会</w:t>
      </w:r>
    </w:p>
    <w:p>
      <w:pPr>
        <w:spacing w:before="0" w:after="80"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国家发展改革委党组书记、主任郑栅洁主持召开国有企业改革座谈会，听取部分中央企业、地方国有企业负责人意见建议，研究进一步深化国资国企改革工作。一是紧紧围绕服务国家战略优化国有资本布局，推动国有资本向关系国家安全、国民经济命脉的重要行业和关键领域集中，向提供公共服务、应急能力、公益性等关系国计民生的重要领域集中。二是加快完善中国特色现代企业制度，把加强党的领导和完善公司治理统一起来，推动国有企业真正按市场化机制运营，打造治理新、柔韧灵活、有效制衡的现代企业治理架构。三是健全市场化经营机制，深化三项制度改革，真正打破"铁交椅""铁饭碗""大锅饭"，建立有别于行政机关、符合市场经济规律和国有企业特点的分配机制。四是加强国有资产监管，坚持授权与监管相结合、放活与管好相统一，深化分类改革、分类监管、分类考核，该管的科学管理、不能缺位，不该管的依法放权、不能越位。</w:t>
      </w:r>
    </w:p>
    <w:p>
      <w:pPr>
        <w:spacing w:before="0" w:after="160" w:line="560" w:lineRule="exact"/>
        <w:ind w:firstLine="0"/>
      </w:pPr>
      <w:r>
        <w:rPr>
          <w:rFonts w:ascii="仿宋_GB2312" w:hAnsi="仿宋_GB2312" w:eastAsia="仿宋_GB2312"/>
          <w:b w:val="0"/>
          <w:color w:val="0000FF"/>
          <w:sz w:val="24"/>
        </w:rPr>
        <w:t>来源：国家发展改革委官网（2026年6月2日） 链接：https://www.ndrc.gov.cn/fzggw/wld/zsj/zyhd/202606/t20260603_1405672.html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