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600"/>
        <w:jc w:val="center"/>
      </w:pPr>
      <w:r>
        <w:rPr>
          <w:rFonts w:ascii="SimHei" w:hAnsi="SimHei" w:eastAsia="SimHei"/>
          <w:b/>
          <w:sz w:val="44"/>
        </w:rPr>
        <w:t>媒体信息摘报</w:t>
      </w:r>
    </w:p>
    <w:p>
      <w:pPr>
        <w:spacing w:lineRule="exact" w:line="400"/>
        <w:jc w:val="center"/>
      </w:pPr>
      <w:r>
        <w:rPr>
          <w:rFonts w:ascii="FangSong_GB2312" w:hAnsi="FangSong_GB2312" w:eastAsia="FangSong_GB2312"/>
          <w:sz w:val="24"/>
        </w:rPr>
        <w:t>2026年10月28日（省级党报经济·科技·消费创新举措精选）</w:t>
      </w:r>
    </w:p>
    <w:p>
      <w:pPr>
        <w:spacing w:lineRule="exact" w:line="560" w:before="160"/>
      </w:pPr>
      <w:r>
        <w:rPr>
          <w:rFonts w:ascii="SimHei" w:hAnsi="SimHei" w:eastAsia="SimHei"/>
          <w:b/>
          <w:sz w:val="32"/>
        </w:rPr>
        <w:t>1、从“资产信用”向“科技信用”转型</w:t>
      </w:r>
    </w:p>
    <w:p>
      <w:pPr>
        <w:spacing w:lineRule="exact" w:line="560" w:after="80"/>
      </w:pPr>
      <w:r>
        <w:rPr>
          <w:rFonts w:ascii="FangSong_GB2312" w:hAnsi="FangSong_GB2312" w:eastAsia="FangSong_GB2312"/>
          <w:sz w:val="32"/>
        </w:rPr>
        <w:t>广东拥有7.7万家高新技术企业、5.6万家科技型中小企业，核心资产多凝聚在专利、技术图纸与研发团队中，传统依赖抵押物与历史财务数据的风控逻辑难以适配。广东银行业正重塑科技信贷服务体系。</w:t>
      </w:r>
      <w:r>
        <w:rPr>
          <w:rFonts w:ascii="FangSong_GB2312" w:hAnsi="FangSong_GB2312" w:eastAsia="FangSong_GB2312"/>
          <w:sz w:val="32"/>
        </w:rPr>
        <w:t>一是重构授信标尺，从“财务画像”转向“创新画像”。银行“先看懂一个赛道再发现企业”，招商银行“科创产业贷—创新药”从“看三表”转为“看人、看管线、看资本”；工商银行广东省分行新设不同场景的信用贷款打分卡；中国银行广东省分行依托“中银夸腾”系统，为拥有130余项专利的专精特新“小巨人”核定授信超5000万元。</w:t>
      </w:r>
      <w:r>
        <w:rPr>
          <w:rFonts w:ascii="FangSong_GB2312" w:hAnsi="FangSong_GB2312" w:eastAsia="FangSong_GB2312"/>
          <w:sz w:val="32"/>
        </w:rPr>
        <w:t>二是拉长服务周期，从“资金供给者”转“产业合伙人”。招商银行广州分行在康方生物“三无”阶段即以10—15年中长期项目贷款匹配基地建设；浦发银行广州分行跟踪研判飞秒激光研究中心近半年后提供1000万元授信；中国银行广东省分行推出“中试贷”并入选省级“粤科专项贷”目录。</w:t>
      </w:r>
      <w:r>
        <w:rPr>
          <w:rFonts w:ascii="FangSong_GB2312" w:hAnsi="FangSong_GB2312" w:eastAsia="FangSong_GB2312"/>
          <w:sz w:val="32"/>
        </w:rPr>
        <w:t>三是专营化经营与多方协同。广东金融监管局推进科技支行建设，首批66家科技支行中六成科技贷款占对公贷款比重达70%以上；广州银行成立专班、组建行业专职团队，实行5年长周期考核、100%科技金融权重、90条尽职免责清单；人民银行韶关市分行打通确权登记公示全流程，落地全省首笔生物育种数据知识产权质押贷款；肇庆推出省内首创“研发贷+研发保”模式，由建行放贷、平安产险同步提供研发综合保障。</w:t>
      </w:r>
    </w:p>
    <w:p>
      <w:pPr>
        <w:spacing w:lineRule="exact" w:line="560"/>
      </w:pPr>
      <w:r>
        <w:rPr>
          <w:rFonts w:ascii="FangSong_GB2312" w:hAnsi="FangSong_GB2312" w:eastAsia="FangSong_GB2312"/>
          <w:sz w:val="32"/>
        </w:rPr>
        <w:t>（信息来源：南方日报10月28日《从“资产信用”向“科技信用”转型》  https://epaper.nfnews.com/nfdaily/html/202610/28/content_10184597.html）</w:t>
      </w:r>
    </w:p>
    <w:p>
      <w:pPr>
        <w:spacing w:lineRule="exact" w:line="560" w:before="160"/>
      </w:pPr>
      <w:r>
        <w:rPr>
          <w:rFonts w:ascii="SimHei" w:hAnsi="SimHei" w:eastAsia="SimHei"/>
          <w:b/>
          <w:sz w:val="32"/>
        </w:rPr>
        <w:t>2、1.52亿元购房补贴惠及1.2万户家庭</w:t>
      </w:r>
    </w:p>
    <w:p>
      <w:pPr>
        <w:spacing w:lineRule="exact" w:line="560" w:after="80"/>
      </w:pPr>
      <w:r>
        <w:rPr>
          <w:rFonts w:ascii="FangSong_GB2312" w:hAnsi="FangSong_GB2312" w:eastAsia="FangSong_GB2312"/>
          <w:sz w:val="32"/>
        </w:rPr>
        <w:t>广西将住房消费纳入大宗耐用商品消费范畴，近期筹集近3亿元资金于9月底开展新一轮购房补贴活动，与中央购房贷款贴息、增贷、减税等政策形成协同，激发刚性和改善性住房需求。</w:t>
      </w:r>
      <w:r>
        <w:rPr>
          <w:rFonts w:ascii="FangSong_GB2312" w:hAnsi="FangSong_GB2312" w:eastAsia="FangSong_GB2312"/>
          <w:sz w:val="32"/>
        </w:rPr>
        <w:t>一是扩大补贴惠民范围，实行分层分类“精准滴灌”。基础补贴按购房合同总额分别给予每套1万元或8000元；叠加补贴对“卖旧买新”、新市民、高校毕业生、缴存住房公积金的灵活就业人员、退役军人、初育和多子女家庭等给予3000元至1万元不等支持，其中初育家庭3000元、二孩家庭5000元、三孩家庭10000元，符合条件者最高可申领3万元。</w:t>
      </w:r>
      <w:r>
        <w:rPr>
          <w:rFonts w:ascii="FangSong_GB2312" w:hAnsi="FangSong_GB2312" w:eastAsia="FangSong_GB2312"/>
          <w:sz w:val="32"/>
        </w:rPr>
        <w:t>二是首次将商业办公用房纳入补贴，按合同金额3%、最高1万元补贴，支持库存商业办公用房去化。</w:t>
      </w:r>
      <w:r>
        <w:rPr>
          <w:rFonts w:ascii="FangSong_GB2312" w:hAnsi="FangSong_GB2312" w:eastAsia="FangSong_GB2312"/>
          <w:sz w:val="32"/>
        </w:rPr>
        <w:t>三是推动市县和企业叠加补贴。崇左、梧州、贵港、北海等市及多个县份因地制宜推出当地购房补贴；房企发放5000多张专属优惠券，每券可抵1万元购房款。</w:t>
      </w:r>
      <w:r>
        <w:rPr>
          <w:rFonts w:ascii="FangSong_GB2312" w:hAnsi="FangSong_GB2312" w:eastAsia="FangSong_GB2312"/>
          <w:sz w:val="32"/>
        </w:rPr>
        <w:t>四是优化住房公积金服务。10月起全面实行灵活就业人员与单位职工同权同策，拓宽公积金使用范围至租房、建造、翻建、大修、装修及支付物业费；持续推进“商转公”业务落地，对多子女家庭实行贷款额度倾斜。广西还安排1000万元专项资金，对租住保障性租赁住房的毕业两年内高校毕业生予以安居支持；面向环卫、园林市政工人、建筑农民工及公共服务行业困难职工开展住房保障和住房公积金支持专项行动。购房人可通过云闪付App“广西消费券专区”便捷申领。</w:t>
      </w:r>
    </w:p>
    <w:p>
      <w:pPr>
        <w:spacing w:lineRule="exact" w:line="560"/>
      </w:pPr>
      <w:r>
        <w:rPr>
          <w:rFonts w:ascii="FangSong_GB2312" w:hAnsi="FangSong_GB2312" w:eastAsia="FangSong_GB2312"/>
          <w:sz w:val="32"/>
        </w:rPr>
        <w:t>（信息来源：广西日报10月28日《1.52亿元购房补贴惠及1.2万户家庭》  https://gxrb.gxrb.com.cn/?name=gxrb&amp;date=2026-10-28&amp;code=002）</w:t>
      </w:r>
    </w:p>
    <w:p>
      <w:pPr>
        <w:spacing w:lineRule="exact" w:line="560" w:before="160"/>
      </w:pPr>
      <w:r>
        <w:rPr>
          <w:rFonts w:ascii="SimHei" w:hAnsi="SimHei" w:eastAsia="SimHei"/>
          <w:b/>
          <w:sz w:val="32"/>
        </w:rPr>
        <w:t>3、将“一束光”变成“一条链”</w:t>
      </w:r>
    </w:p>
    <w:p>
      <w:pPr>
        <w:spacing w:lineRule="exact" w:line="560" w:after="80"/>
      </w:pPr>
      <w:r>
        <w:rPr>
          <w:rFonts w:ascii="FangSong_GB2312" w:hAnsi="FangSong_GB2312" w:eastAsia="FangSong_GB2312"/>
          <w:sz w:val="32"/>
        </w:rPr>
        <w:t>绵阳依托光子科创城，坚持科技创新作为产业发展源头供给，一手抓关键技术攻坚、一手抓成果转化贯通，加快构建“技术攻关—成果转化—产业应用”产业创新闭环，将实验室“一束光”转化为创新产品并带动“一条链”。</w:t>
      </w:r>
      <w:r>
        <w:rPr>
          <w:rFonts w:ascii="FangSong_GB2312" w:hAnsi="FangSong_GB2312" w:eastAsia="FangSong_GB2312"/>
          <w:sz w:val="32"/>
        </w:rPr>
        <w:t>一是突破核心技术，涌现创新产品。依托大院大所协同优势，推动科技成果从原理样机到工程样机研发通道打通；激光和太赫兹技术应用产业链已集聚重点实验室5个、新型研发机构9个、中试平台10个、企业技术中心7个；四川深冷科技攻克抗磁氮氧化锆材料关键技术，研制出抗磁型深低温温度传感器，补齐国内高端测控元器件短板；中久大光研发数万瓦级单模组高功率光纤激光器，突破大功率光输出与精密热管理关键技术。</w:t>
      </w:r>
      <w:r>
        <w:rPr>
          <w:rFonts w:ascii="FangSong_GB2312" w:hAnsi="FangSong_GB2312" w:eastAsia="FangSong_GB2312"/>
          <w:sz w:val="32"/>
        </w:rPr>
        <w:t>二是搭建发展平台，铺就产业化快速通道。绵阳着力打造涵盖金融支持、人才引育、技术孵化等政策体系；科创投集团完成对深冷科技的战略投资，助力技术早日产业化；完善产业智库，由产业链首席科学家牵头、院所高校与重点企业20名行业专家组成高端人才矩阵；搭建“科产汇”对接平台，鼓励企业与院所高校对接，拓展技术应用领域，如沃思测控“太赫兹测厚系统”借助该平台实现技术合作。</w:t>
      </w:r>
      <w:r>
        <w:rPr>
          <w:rFonts w:ascii="FangSong_GB2312" w:hAnsi="FangSong_GB2312" w:eastAsia="FangSong_GB2312"/>
          <w:sz w:val="32"/>
        </w:rPr>
        <w:t>三是形成产业规模。截至2026年9月，该产业已培育高新技术企业14户、科技型中小企业19户、瞪羚企业1户、种子独角兽企业1户；预计2026年产业规模达88亿元，到2030年向200亿元目标迈进。</w:t>
      </w:r>
    </w:p>
    <w:p>
      <w:pPr>
        <w:spacing w:lineRule="exact" w:line="560"/>
      </w:pPr>
      <w:r>
        <w:rPr>
          <w:rFonts w:ascii="FangSong_GB2312" w:hAnsi="FangSong_GB2312" w:eastAsia="FangSong_GB2312"/>
          <w:sz w:val="32"/>
        </w:rPr>
        <w:t>（信息来源：四川日报10月28日《将“一束光”变成“一条链”》  https://epaper.scdaily.cn/shtml/scrb/20261028/1093071.html）</w:t>
      </w:r>
    </w:p>
    <w:p>
      <w:pPr>
        <w:spacing w:lineRule="exact" w:line="560" w:before="160"/>
      </w:pPr>
      <w:r>
        <w:rPr>
          <w:rFonts w:ascii="SimHei" w:hAnsi="SimHei" w:eastAsia="SimHei"/>
          <w:b/>
          <w:sz w:val="32"/>
        </w:rPr>
        <w:t>4、铝，何以新生？</w:t>
      </w:r>
    </w:p>
    <w:p>
      <w:pPr>
        <w:spacing w:lineRule="exact" w:line="560" w:after="80"/>
      </w:pPr>
      <w:r>
        <w:rPr>
          <w:rFonts w:ascii="FangSong_GB2312" w:hAnsi="FangSong_GB2312" w:eastAsia="FangSong_GB2312"/>
          <w:sz w:val="32"/>
        </w:rPr>
        <w:t>铜川市将铝材料产业确立为全市首位产业，循着“做大铝基础、做优铝合金、做精铝加工”路径，用好“西安研发、铜川转化”“陕北原料、铜川制造”协同优势，深度嵌入全省铝镁钼深加工重点产业链。</w:t>
      </w:r>
      <w:r>
        <w:rPr>
          <w:rFonts w:ascii="FangSong_GB2312" w:hAnsi="FangSong_GB2312" w:eastAsia="FangSong_GB2312"/>
          <w:sz w:val="32"/>
        </w:rPr>
        <w:t>一是稳底盘，铝液园内直供。董家河循环经济产业园内，美鑫公司电解铝液不降温、不铸锭、不出园，15分钟直达下游深加工企业，园区电解铝液就地转化率达96%，告别“本地炼锭、异地加工、二次重熔”粗放模式，挤干整条产业链无效成本与损耗，美鑫升级为产业链“链主”企业。</w:t>
      </w:r>
      <w:r>
        <w:rPr>
          <w:rFonts w:ascii="FangSong_GB2312" w:hAnsi="FangSong_GB2312" w:eastAsia="FangSong_GB2312"/>
          <w:sz w:val="32"/>
        </w:rPr>
        <w:t>二是壮集群，链式培育。铜川市委主要领导担任铝材料产业链链长，配套出台专项扶持政策、建立产业月调度机制，靶向破解企业生产经营、项目建设、投融资保障等堵点；省市两级铝业协会、省级铝及铝加工标准化技术委员会落地，夯实产业标准话语权；连续三年举办铝产业发展大会延链补链强链。产业由单一电解铝发展为铝板带、线材、型材等细分行业，并向新能源汽车轻量化构件、航空航天型材延伸。</w:t>
      </w:r>
      <w:r>
        <w:rPr>
          <w:rFonts w:ascii="FangSong_GB2312" w:hAnsi="FangSong_GB2312" w:eastAsia="FangSong_GB2312"/>
          <w:sz w:val="32"/>
        </w:rPr>
        <w:t>三是育新质，中试转化。新铝航研发中试及检测基地投用，依托“西安总部研发+铜川中试转化”协同布局，在铜川搭建覆盖熔铸、轧制、粉末冶金三大板块的全链条中试体系，覆盖1系—7系全系列铝合金研发试制；大秦铝业与中南大学合作研发的2系、7系航材级超硬铝合金铸锭填补全省空白。铜川建成2个中试基地和1个国家级检测中心，培育以2户省级“链主”、6户专精特新、13户高新技术企业为支撑的创新梯队。</w:t>
      </w:r>
    </w:p>
    <w:p>
      <w:pPr>
        <w:spacing w:lineRule="exact" w:line="560"/>
      </w:pPr>
      <w:r>
        <w:rPr>
          <w:rFonts w:ascii="FangSong_GB2312" w:hAnsi="FangSong_GB2312" w:eastAsia="FangSong_GB2312"/>
          <w:sz w:val="32"/>
        </w:rPr>
        <w:t>（信息来源：陕西日报10月28日《铝，何以新生？》  https://esb.sxdaily.com.cn/pc/content/202610/28/content_2590327.html）</w:t>
      </w:r>
    </w:p>
    <w:p>
      <w:pPr>
        <w:spacing w:lineRule="exact" w:line="560" w:before="160"/>
      </w:pPr>
      <w:r>
        <w:rPr>
          <w:rFonts w:ascii="SimHei" w:hAnsi="SimHei" w:eastAsia="SimHei"/>
          <w:b/>
          <w:sz w:val="32"/>
        </w:rPr>
        <w:t>5、首发经济“泡”出新茶味</w:t>
      </w:r>
    </w:p>
    <w:p>
      <w:pPr>
        <w:spacing w:lineRule="exact" w:line="560" w:after="80"/>
      </w:pPr>
      <w:r>
        <w:rPr>
          <w:rFonts w:ascii="FangSong_GB2312" w:hAnsi="FangSong_GB2312" w:eastAsia="FangSong_GB2312"/>
          <w:sz w:val="32"/>
        </w:rPr>
        <w:t>在杨凌农高会首届农创汇展区，陕西茶企以“首发+新渠道”模式推动传统茶产业求新求变，让首发经济化作清新的茶香飘出大山。陕西是非遗茯茶与绿茶重要产区，企业探索以“首发经济+直播矩阵+非遗工业化”组合路径，把地方特色茶从土特产升级为现代消费品牌。</w:t>
      </w:r>
      <w:r>
        <w:rPr>
          <w:rFonts w:ascii="FangSong_GB2312" w:hAnsi="FangSong_GB2312" w:eastAsia="FangSong_GB2312"/>
          <w:sz w:val="32"/>
        </w:rPr>
        <w:t>一是展会首发新产品。西乡县巴山荞园茶业在农高会首发冷萃茶粉与独立袋泡茶，满足年轻人“一周不重样”喝水需求；同时展出AI智能检测设备，采集体质数据并推荐适配茶饮，将茶饮与药食同源产品结合。</w:t>
      </w:r>
      <w:r>
        <w:rPr>
          <w:rFonts w:ascii="FangSong_GB2312" w:hAnsi="FangSong_GB2312" w:eastAsia="FangSong_GB2312"/>
          <w:sz w:val="32"/>
        </w:rPr>
        <w:t>二是借力直播矩阵打开销路。巴山荞园自2024年起与与辉同行合作，每月不定期直播三四次，覆盖汉中仙毫、红茶、苦荞茶等多款产品；单场直播销售5000多单、销售额近60万元，以常态化直播承接首发新品。</w:t>
      </w:r>
      <w:r>
        <w:rPr>
          <w:rFonts w:ascii="FangSong_GB2312" w:hAnsi="FangSong_GB2312" w:eastAsia="FangSong_GB2312"/>
          <w:sz w:val="32"/>
        </w:rPr>
        <w:t>三是线下加盟与品牌输出。胖东来采购商在展位考察源头基地、加工与品牌输出后，提出加盟合作意向；企业计划以100家店、1000家店规模带动汉中乃至陕西茶叶走出去，并帮扶西乡县回龙村，村集体经济人均增收超2000元，公司直接带动茶农500多户。</w:t>
      </w:r>
      <w:r>
        <w:rPr>
          <w:rFonts w:ascii="FangSong_GB2312" w:hAnsi="FangSong_GB2312" w:eastAsia="FangSong_GB2312"/>
          <w:sz w:val="32"/>
        </w:rPr>
        <w:t>四是非遗新茶饮工业化。泾阳茯茶依托西北农林科技大学技术，以智能化无尘生产线与智能发花房，将非遗发花工艺装入现代罐装线，推出零糖零脂鲜萃茯茶饮料，精准匹配年轻消费场景；该茶饮零售价3元一瓶，京东自采采购商主动对接，准备会后洽谈合作。</w:t>
      </w:r>
    </w:p>
    <w:p>
      <w:pPr>
        <w:spacing w:lineRule="exact" w:line="560"/>
      </w:pPr>
      <w:r>
        <w:rPr>
          <w:rFonts w:ascii="FangSong_GB2312" w:hAnsi="FangSong_GB2312" w:eastAsia="FangSong_GB2312"/>
          <w:sz w:val="32"/>
        </w:rPr>
        <w:t>（信息来源：陕西日报10月28日《首发经济“泡”出新茶味》  https://esb.sxdaily.com.cn/pc/content/202610/28/content_2590385.html）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