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jc w:val="center"/>
      </w:pPr>
      <w:r>
        <w:rPr>
          <w:rFonts w:ascii="黑体" w:hAnsi="黑体" w:eastAsia="黑体"/>
          <w:b/>
          <w:sz w:val="32"/>
        </w:rPr>
        <w:t>2026年8月31日 媒体信息摘报</w:t>
      </w:r>
    </w:p>
    <w:p>
      <w:pPr>
        <w:spacing w:lineRule="exact" w:line="560" w:before="120" w:after="40"/>
      </w:pPr>
      <w:r>
        <w:rPr>
          <w:rFonts w:ascii="黑体" w:hAnsi="黑体" w:eastAsia="黑体"/>
          <w:b/>
          <w:sz w:val="32"/>
        </w:rPr>
        <w:t>1. 重庆出台37条硬核举措推动经济持续向新向优向好发展</w:t>
      </w:r>
    </w:p>
    <w:p>
      <w:pPr>
        <w:spacing w:lineRule="exact" w:line="560" w:before="0" w:after="0"/>
        <w:ind w:firstLine="640"/>
      </w:pPr>
      <w:r>
        <w:rPr>
          <w:rFonts w:ascii="仿宋_GB2312" w:hAnsi="仿宋_GB2312" w:eastAsia="仿宋_GB2312"/>
          <w:b w:val="0"/>
          <w:sz w:val="32"/>
        </w:rPr>
        <w:t>重庆市出台推动经济持续向新向优向好发展的37条硬核举措，从供需两侧协同发力稳增长、提质量。一是安排新能源全新车型研发补助，对整车企业新开发的重磅全新新能源车型，按研发投入给予最高8000万元补助，支持整车产品向高端化、智能化跃升，巩固汽车制造支柱地位。二是布局智能机器人共享工厂，对建设面向中小企业开放共享的智能机器人制造工厂，按设备投资额给予最高500万元补助，降低中小制造企业智能化改造的资金门槛。三是设立词元工厂MaaS专区，对建设面向企业的模型即服务专区，按建设投入给予最高100万元补助，推动人工智能技术低成本赋能千行百业。四是组建科技创新母基金，总规模50亿元，重点投向早中期科技型企业与战略性新兴产业，强化耐心资本供给，撬动社会资本跟投。五是实施消费提振发票抽奖，对消费者符合条件的消费发票给予抽奖机会，单张发票最高奖金1万元，激发居民消费意愿与市场主体活力。六是优化住房公积金贷款支持，个人最高可贷100万元、家庭最高可贷200万元，更好满足刚性和改善性住房需求，稳定房地产市场预期。七是统筹37条举措协同落地，由市级主管部门分项制定实施细则与资金兑现流程，确保政策红利直达企业、惠及群众。</w:t>
      </w:r>
    </w:p>
    <w:p>
      <w:pPr>
        <w:spacing w:lineRule="exact" w:line="560" w:before="0" w:after="0"/>
        <w:ind w:firstLine="640"/>
      </w:pPr>
      <w:r>
        <w:rPr>
          <w:rFonts w:ascii="仿宋_GB2312" w:hAnsi="仿宋_GB2312" w:eastAsia="仿宋_GB2312"/>
          <w:b w:val="0"/>
          <w:sz w:val="32"/>
        </w:rPr>
        <w:t>（信息来源：重庆日报8月31日《重庆出台37条硬核举措，推动经济持续向新向优向好发展》 https://www.sohu.com/a/1069795001_162758）</w:t>
      </w:r>
    </w:p>
    <w:p>
      <w:pPr>
        <w:spacing w:lineRule="exact" w:line="560"/>
      </w:pPr>
    </w:p>
    <w:p>
      <w:pPr>
        <w:spacing w:lineRule="exact" w:line="560" w:before="120" w:after="40"/>
      </w:pPr>
      <w:r>
        <w:rPr>
          <w:rFonts w:ascii="黑体" w:hAnsi="黑体" w:eastAsia="黑体"/>
          <w:b/>
          <w:sz w:val="32"/>
        </w:rPr>
        <w:t>2. 江苏在用算力中心超300个 算力供给能力居全国前列</w:t>
      </w:r>
    </w:p>
    <w:p>
      <w:pPr>
        <w:spacing w:lineRule="exact" w:line="560" w:before="0" w:after="0"/>
        <w:ind w:firstLine="640"/>
      </w:pPr>
      <w:r>
        <w:rPr>
          <w:rFonts w:ascii="仿宋_GB2312" w:hAnsi="仿宋_GB2312" w:eastAsia="仿宋_GB2312"/>
          <w:b w:val="0"/>
          <w:sz w:val="32"/>
        </w:rPr>
        <w:t>江苏省在用算力中心已超过300个，算力供给能力稳居全国前列，以算力基础设施升级支撑人工智能与产业深度融合。一是提升智能算力规模，全省在用算力超过250EFlops（FP16精度），其中智能算力占比超过70%，智算成为算力增长的主力军。二是明确扩容目标，到2028年在用算力规模将超过600EFlops，进一步巩固在全国第一方阵地位，支撑大模型训练与推理旺盛需求。三是发放词元券，以券化方式降低企业使用大模型与智能算力的成本，推动人工智能技术普惠广大中小企业。四是构建算力网“1+13”调度体系，以省级算力调度平台统筹13个设区市算力资源，提升跨区域按需调度与利用效率，避免低水平重复建设。五是推进算电协同，统筹算力布局与能源供应，保障数据中心绿色低碳运行，降低综合用能成本。六是打造低时延算力网络，形成城市内1毫秒、省内3毫秒、长三角5毫秒时延圈，支撑工业互联网、自动驾驶、金融交易等实时性场景落地。七是强化算力与产业对接，面向制造、医疗、交通等重点行业开放算力应用场景，培育算力服务商与集成商生态。八是依托算力优势开展算力招商，吸引大模型训练、推理与数据服务企业落地，以优质算力供给带动人工智能产业链集聚成势，形成“以算引产、以产促算”的良性循环。</w:t>
      </w:r>
    </w:p>
    <w:p>
      <w:pPr>
        <w:spacing w:lineRule="exact" w:line="560" w:before="0" w:after="0"/>
        <w:ind w:firstLine="640"/>
      </w:pPr>
      <w:r>
        <w:rPr>
          <w:rFonts w:ascii="仿宋_GB2312" w:hAnsi="仿宋_GB2312" w:eastAsia="仿宋_GB2312"/>
          <w:b w:val="0"/>
          <w:sz w:val="32"/>
        </w:rPr>
        <w:t>（信息来源：新华日报8月31日《江苏在用算力中心超300个 算力供给能力居全国前列》 https://www.toutiao.com/article/7679972629146583603/）</w:t>
      </w:r>
    </w:p>
    <w:p>
      <w:pPr>
        <w:spacing w:lineRule="exact" w:line="560"/>
      </w:pPr>
    </w:p>
    <w:p>
      <w:pPr>
        <w:spacing w:lineRule="exact" w:line="560" w:before="120" w:after="40"/>
      </w:pPr>
      <w:r>
        <w:rPr>
          <w:rFonts w:ascii="黑体" w:hAnsi="黑体" w:eastAsia="黑体"/>
          <w:b/>
          <w:sz w:val="32"/>
        </w:rPr>
        <w:t>3. 科创大走廊·青岛新力量 更多高端装备由“廊”入海</w:t>
      </w:r>
    </w:p>
    <w:p>
      <w:pPr>
        <w:spacing w:lineRule="exact" w:line="560" w:before="0" w:after="0"/>
        <w:ind w:firstLine="640"/>
      </w:pPr>
      <w:r>
        <w:rPr>
          <w:rFonts w:ascii="仿宋_GB2312" w:hAnsi="仿宋_GB2312" w:eastAsia="仿宋_GB2312"/>
          <w:b w:val="0"/>
          <w:sz w:val="32"/>
        </w:rPr>
        <w:t>青岛市依托蓝谷科创大走廊，推动高端装备与海洋科技产业由“廊”入海、向海图强。一是建设青岛蓝谷科创大走廊，串联驻青高校、科研院所与龙头企业，构建产学研用深度融合的产业创新走廊，集聚高端创新资源与人才团队。二是发起成立海洋具身智能机器人产业联盟，吸纳50家以上涉海机器人、人工智能企业加入，协同攻关水下巡检、深海作业等具身智能装备关键技术。三是打造深海开发加速园，聚焦深海探测、深海养殖、深海装备等方向，提供中试、验证与产业化空间，加速科技成果向海转化、就地成链。四是组建产学研协同创新联盟，推动驻青高校、科研院所与企业共建联合实验室与概念验证中心，打通从样品到产品的转化链路，缩短产业化周期。五是布局海洋智能装备示范应用，海哨SV3波浪滑翔机、智飞号无人船等高端装备已开展常态化海上试验与作业，带动海洋高端装备由走廊走向深蓝、由实验室走向产业端。六是以走廊为纽带强化区域协同，推动青岛蓝谷与周边城区、产业园区在研发、中试、制造环节分工协作，形成高端装备集群化发展格局。七是强化海洋科创要素保障，统筹海域使用权、中试海域与产业用地供给，完善科创走廊人才安居与科技金融服务，为高端装备由“廊”入海提供全周期支撑。八是扩大开放合作，支持蓝谷科创大走廊与沿海城市群、海洋科研机构联合开展技术攻关与装备推介，推动青岛高端装备走向全国、迈向深蓝。</w:t>
      </w:r>
    </w:p>
    <w:p>
      <w:pPr>
        <w:spacing w:lineRule="exact" w:line="560" w:before="0" w:after="0"/>
        <w:ind w:firstLine="640"/>
      </w:pPr>
      <w:r>
        <w:rPr>
          <w:rFonts w:ascii="仿宋_GB2312" w:hAnsi="仿宋_GB2312" w:eastAsia="仿宋_GB2312"/>
          <w:b w:val="0"/>
          <w:sz w:val="32"/>
        </w:rPr>
        <w:t>（信息来源：青岛日报8月31日《科创大走廊·青岛新力量 更多高端装备由“廊”入海》 https://sd.dzwww.com/sdnews/202608/t20260831_18067435.htm）</w:t>
      </w:r>
    </w:p>
    <w:p>
      <w:pPr>
        <w:spacing w:lineRule="exact" w:line="560"/>
      </w:pPr>
    </w:p>
    <w:p>
      <w:pPr>
        <w:spacing w:lineRule="exact" w:line="560" w:before="120" w:after="40"/>
      </w:pPr>
      <w:r>
        <w:rPr>
          <w:rFonts w:ascii="黑体" w:hAnsi="黑体" w:eastAsia="黑体"/>
          <w:b/>
          <w:sz w:val="32"/>
        </w:rPr>
        <w:t>4. 河南重磅发文推动下半年经济持续向新向优向好发展</w:t>
      </w:r>
    </w:p>
    <w:p>
      <w:pPr>
        <w:spacing w:lineRule="exact" w:line="560" w:before="0" w:after="0"/>
        <w:ind w:firstLine="640"/>
      </w:pPr>
      <w:r>
        <w:rPr>
          <w:rFonts w:ascii="仿宋_GB2312" w:hAnsi="仿宋_GB2312" w:eastAsia="仿宋_GB2312"/>
          <w:b w:val="0"/>
          <w:sz w:val="32"/>
        </w:rPr>
        <w:t>河南省印发推动下半年经济持续向新向优向好发展的重点任务清单，部署夏秋季战役9大方面33条举措。一是稳住工业基本盘，推动新能源汽车产量突破100万辆，支持整车企业扩产提效与核心零部件本地配套，做强先进制造业集群。二是建设人工智能应用中试基地，布局医疗、农业2个国家级人工智能应用中试基地，推动人工智能与实体经济深度融合、加速成果转化。三是发布场景机会、能力、案例“三张清单”，常态化向全社会开放应用场景，促进新技术新产品首试首用、供需精准对接。四是实施“乐享河南”暑期消费季，组织开展系列促消费活动，发放消费券、举办主题市集，释放居民消费潜力。五是复制推广胖东来经验，以标杆商贸企业服务理念带动全省商贸流通提质增效与消费环境优化。六是稳定和扩大就业，全年城镇新增就业110万人以上，强化重点群体就业帮扶。七是推进城市更新，建设完整社区300个，补齐养老、托育、停车等短板，提升城市宜居韧性智慧水平。八是统筹项目与投资支撑，滚动谋划实施一批强基础、增动能的重大项目，以项目之进支撑经济之稳。九是强化清单落地保障，对33条举措逐项明确责任单位、时间节点与调度机制，按月通报进展、对标对表推进，将落实情况纳入督查考核，确保各项任务落地见效。</w:t>
      </w:r>
    </w:p>
    <w:p>
      <w:pPr>
        <w:spacing w:lineRule="exact" w:line="560" w:before="0" w:after="0"/>
        <w:ind w:firstLine="640"/>
      </w:pPr>
      <w:r>
        <w:rPr>
          <w:rFonts w:ascii="仿宋_GB2312" w:hAnsi="仿宋_GB2312" w:eastAsia="仿宋_GB2312"/>
          <w:b w:val="0"/>
          <w:sz w:val="32"/>
        </w:rPr>
        <w:t>（信息来源：河南日报8月31日《河南重磅发文！推动下半年经济持续向新优向好发展，重点任务清单》 https://www.toutiao.com/article/7679976149014888966/）</w:t>
      </w:r>
    </w:p>
    <w:p>
      <w:pPr>
        <w:spacing w:lineRule="exact" w:line="560"/>
      </w:pPr>
    </w:p>
    <w:p>
      <w:pPr>
        <w:spacing w:lineRule="exact" w:line="560" w:before="120" w:after="40"/>
      </w:pPr>
      <w:r>
        <w:rPr>
          <w:rFonts w:ascii="黑体" w:hAnsi="黑体" w:eastAsia="黑体"/>
          <w:b/>
          <w:sz w:val="32"/>
        </w:rPr>
        <w:t>5. 让创新链和产业链“共舞”</w:t>
      </w:r>
    </w:p>
    <w:p>
      <w:pPr>
        <w:spacing w:lineRule="exact" w:line="560" w:before="0" w:after="0"/>
        <w:ind w:firstLine="640"/>
      </w:pPr>
      <w:r>
        <w:rPr>
          <w:rFonts w:ascii="仿宋_GB2312" w:hAnsi="仿宋_GB2312" w:eastAsia="仿宋_GB2312"/>
          <w:b w:val="0"/>
          <w:sz w:val="32"/>
        </w:rPr>
        <w:t>陕西以“三项改革”与科技金融融合打通创新链与产业链，破解科创企业融资难融资贵。一是深化职务科技成果资产单列管理改革，探索协同管理、一站服务、分段管理3种模式，截至2026年6月全省11.8万项职务科技成果实现资产单列管理，5.56万项成功转移转化，1500名科研人员凭转化贡献获职称晋升，新成立成果转化企业3390家。二是升级秦创原创新驱动平台，依托长安汇通整合设立秦创原科技创新投资集团，构建基金管理、股权投资、综合服务、技术策源四大业务体系，培育本土科创“耐心资本”。三是落地科技金融“五项机制”改革，设立百亿级省级科创母基金，明确“投早、投小、投硬科技、投未来”定位，引导资本投向前沿硬科技。四是建立长周期评价与差异化容亏机制，摒弃短期逐利考核模式，以差异化容亏为创新容错兜底，解除投资机构后顾之忧。五是搭建覆盖种子、天使、VC、PE、并购的全周期基金矩阵，畅通科创企业资金接力通道，推动科技成果加速转化为产业动能。六是强化技术经理人激励，完善薪酬、绩效与股权激励机制，畅通成果转化投融资对接渠道，让专业人才在转化中得实惠、有舞台。七是以平台串联创新与产业，推动秦创原总窗口与各地飞地、园区协同布局，完善“挖掘—中试—孵化—产业化”全链条，让更多科技成果在陕西就地转化、就地产业化。</w:t>
      </w:r>
    </w:p>
    <w:p>
      <w:pPr>
        <w:spacing w:lineRule="exact" w:line="560" w:before="0" w:after="0"/>
        <w:ind w:firstLine="640"/>
      </w:pPr>
      <w:r>
        <w:rPr>
          <w:rFonts w:ascii="仿宋_GB2312" w:hAnsi="仿宋_GB2312" w:eastAsia="仿宋_GB2312"/>
          <w:b w:val="0"/>
          <w:sz w:val="32"/>
        </w:rPr>
        <w:t>（信息来源：陕西日报8月31日《让创新链和产业链“共舞”》 https://www.sxdaily.com.cn/2026-08/31/content_20099365.html）</w:t>
      </w:r>
    </w:p>
    <w:p>
      <w:pPr>
        <w:spacing w:lineRule="exact" w:line="56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