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jc w:val="center"/>
      </w:pPr>
      <w:r>
        <w:rPr>
          <w:rFonts w:ascii="SimHei" w:hAnsi="SimHei" w:eastAsia="黑体"/>
          <w:b/>
          <w:sz w:val="32"/>
        </w:rPr>
        <w:t>媒体信息摘报</w:t>
      </w:r>
    </w:p>
    <w:p>
      <w:pPr>
        <w:spacing w:lineRule="exact" w:line="560" w:before="0" w:after="0"/>
        <w:jc w:val="center"/>
      </w:pPr>
      <w:r>
        <w:rPr>
          <w:rFonts w:ascii="仿宋_GB2312" w:hAnsi="仿宋_GB2312" w:eastAsia="仿宋_GB2312"/>
          <w:b w:val="0"/>
          <w:sz w:val="32"/>
        </w:rPr>
        <w:t>2026年10月27日 · 省级党报经济·科技·消费创新举措精选（福建省可借鉴）</w:t>
      </w:r>
    </w:p>
    <w:p/>
    <w:p>
      <w:pPr>
        <w:spacing w:lineRule="exact" w:line="560" w:before="0" w:after="0"/>
      </w:pPr>
      <w:r>
        <w:rPr>
          <w:rFonts w:ascii="SimHei" w:hAnsi="SimHei" w:eastAsia="黑体"/>
          <w:b/>
          <w:sz w:val="32"/>
        </w:rPr>
        <w:t>1. 河南三项目入选国家首批标志性重大应用场景项目清单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国家发展改革委等部门联合推出首批136项标志性重大应用场景项目清单，涉及新技术1700余项、新产品1200余项、新标准规范2200余项。河南省3个场景项目成功入选。省发展改革委上线“豫见场景”服务平台，发布第一批场景机会（51项）、能力清单（103项）。具体举措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打造县域源网荷储一体化场景。针对民生与工业能源系统割裂、分布式新能源高比例接入致电网安全与消纳矛盾突出等痛点，依托兰考县农村能源革命试点县，以“一中枢两应用”为顶层架构，开展县域级源网荷储一体化技术首证首验，打造县域清洁能源示范样板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构建生猪产业“节粮—智养—降碳”全链条绿色循环场景。针对饲料对外依存度高、养殖效率偏低、环保压力大三大痛点，依托牧原食品千余个规模化养殖场，系统集成“生物替代、精准控制、低碳减排”三大核心技术，构建全链条绿色循环示范体系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建设数智驱动的小麦良种育繁推全链一体化场景。针对传统育种周期长、优质专用品种供给不足等痛点，由周口国家农高区牵头实施，验证应用智能分子育种、大田物联网感知、无人农事作业、种子全程溯源等数智化新模式，打通小麦“育—繁—推”全产业链，打造数智种业示范样板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常态化开展场景机会、场景能力、场景项目征集。聚焦新领域新赛道、产业转型升级、民生服务保障等重点方向，强化要素支撑和政策保障，体系化开放重点领域场景资源，推动优质场景落地转化，促进科技创新和产业创新深度融合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（信息来源：河南日报10月27日《河南三项目入选国家首批标志性重大应用场景项目清单》  http://ha.news.cn/20261027/c84330572abb4296973e3c7e1c29b082/c.html）</w:t>
      </w:r>
    </w:p>
    <w:p/>
    <w:p>
      <w:pPr>
        <w:spacing w:lineRule="exact" w:line="560" w:before="0" w:after="0"/>
      </w:pPr>
      <w:r>
        <w:rPr>
          <w:rFonts w:ascii="SimHei" w:hAnsi="SimHei" w:eastAsia="黑体"/>
          <w:b/>
          <w:sz w:val="32"/>
        </w:rPr>
        <w:t>2. 四川数据要素改革三年攻坚路线图发布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10月23日，《四川省数据要素市场化配置改革攻坚突破行动方案（2026—2028年）》发布，提出到2028年底构建不少于200个行业高质量数据集、打造不少于400个标杆应用场景、引育不少于500户数据企业，并重点实施五大行动。具体举措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一是深化公共数据资源开发利用。建立公共数据开放需求受理、响应、评估闭环机制，优先开放民生迫切需求的数据；优先在交通物流、自然资源、医疗健康、金融服务等领域开展公共数据授权运营省级试点。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协同打造“数据要素×”“人工智能+”应用场景。在政务和城市治理领域打造天府增信、天府热线、天府报表通等政务应用矩阵；在人工智能、高端能源装备、航空航天、新型显示等重点产业链打造协同应用场景，并在医疗健康、文旅等民生领域打造一批标杆场景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三是推进“模数共振”。研究制定实施方案，让人工智能大模型与高质量数据相互激发放大，聚焦相关产业，打通“数据供给—模型研发—软硬适配—场景落地”全链条。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培育壮大数据企业。加快培育数据资源、技术、服务、应用、安全、基础设施6类数据企业；支持成都高新区、绵阳涪城区建设国家数据产业集聚区，支持天府新区、武侯区、金牛区、大安区等建设省级集聚区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五是强化资金保障。统筹省级预算内各类财政资金，加大对数据基础设施、高质量数据集、应用场景建设等重大项目支持；发挥省级数字经济发展基金引导作用，带动金融机构、耐心资本、产业基金加大支持力度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（信息来源：四川日报10月27日《四川数据要素改革三年攻坚路线图发布》  https://sc.people.com.cn/n2/2026/1027/c345167-41733264.html）</w:t>
      </w:r>
    </w:p>
    <w:p/>
    <w:p>
      <w:pPr>
        <w:spacing w:lineRule="exact" w:line="560" w:before="0" w:after="0"/>
      </w:pPr>
      <w:r>
        <w:rPr>
          <w:rFonts w:ascii="SimHei" w:hAnsi="SimHei" w:eastAsia="黑体"/>
          <w:b/>
          <w:sz w:val="32"/>
        </w:rPr>
        <w:t>3. 广西新建商品房购房补贴已申领过半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2026年广西购买新建商品房补贴活动于9月25日至12月31日开展，补贴总额2.72亿元，分为基础补贴和叠加补贴两大类。截至10月24日，全区共收到1.1317万份申请完整资料，申请补贴金额达1.44亿元，占补贴总额度的52.94%。具体举措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实施分层分类“精准滴灌”。基础购房补贴方面，新建商品住房申请量占比超95%，达9186套、9159.4万元，有效满足群众住房消费需求；叠加购房补贴方面，已有9111人次申请，其中新市民4467人、新毕业大学生1215人、初育和多子女家庭2890人，精准契合新市民、青年人才及多子女家庭的刚性和改善性住房需求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二是推动地方补贴与自治区补贴叠加申请。多地结合实际推出本地区购房补贴，如北海市10月19日启动新一轮市本级购房补贴，安排600万元资金，新建商品房每套补贴5000元、产权车位每个补贴1000元。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三是叠加多重政策形成“四重利好”。自治区购房补贴叠加国家出台的购房贷款贴息政策，以及市县地方补贴政策和部分房企优惠政策，进一步降低购房者置业成本。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实行“全区一盘棋”“先到先得、发完即止”机制。当前剩余可申请资金已不足50%，自治区住房城乡建设厅将持续加大政策宣传，指导督促市县加快补贴审核进度、优化申领服务，推动全区房地产市场平稳健康发展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（信息来源：广西日报10月27日《广西新建商品房购房补贴已申领过半》  https://gxrb.gxrb.com.cn/?name=gxrb&amp;date=2026-10-27&amp;code=001）</w:t>
      </w:r>
    </w:p>
    <w:p/>
    <w:p>
      <w:pPr>
        <w:spacing w:lineRule="exact" w:line="560" w:before="0" w:after="0"/>
      </w:pPr>
      <w:r>
        <w:rPr>
          <w:rFonts w:ascii="SimHei" w:hAnsi="SimHei" w:eastAsia="黑体"/>
          <w:b/>
          <w:sz w:val="32"/>
        </w:rPr>
        <w:t>4. 点燃金秋，科学城高新区渝悦消费季活动激活市场内需潜力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10月26日，“2026科学城渝悦消费季”系列活动正式落下帷幕。活动历时一个多月，跨越开学、中秋、国庆三大关键消费节点，累计发放390万元政府消费券，直接拉动消费1600万元，核销率超91%。具体举措如下：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“政府搭台、平台赋能、商家让利、全民参与”政企协同。活动由重庆高新区管委会主办、多部门联合承办，联动飞猪旅行、支付宝、滴滴出行、盒马鲜生等头部平台及区内数百家商户，围绕零售、餐饮、住宿三大领域优化消费供给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精准投放三类政府消费券。9月17日在支付宝集中发放390万元消费券，分惠民嗨购券（365万元，覆盖重点商圈与专业市场）、小额畅玩券（15万元，聚焦社区小微便民消费）、飞猪旅行券（10万元，文旅住宿“当日领、当日用”、未核销额度自动回流循环）三大品类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三是整合平台资源释放超1500万元市场福利。滴滴出行投入超500万元补贴推出出行折扣券包；支付宝投入不低于100万元营销资源上线“碰一碰”立减、点餐满减；重庆盒马投放1500万元消费福利。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四是节点活动轮番上演。分时段推出开学迎新乐购季、中秋国庆主题促销、“金秋慢游”农事体验采摘体验温泉套餐等，融合商圈、文旅、夜间、乡村等多元场景营造沉浸式金秋消费嘉年华。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五是建立“政府＋平台＋商家”协同发力长效机制。下一步将持续创新消费场景、丰富消费载体、优化消费环境，让协同发力长效机制常态运转，持续激活区域商贸活力。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（信息来源：重庆日报10月27日《点燃金秋，科学城高新区渝悦消费季活动激活市场内需潜力》  https://www.cqrb.cn/contry/dy72/2026-10-27/2805913_pc.html）</w:t>
      </w:r>
    </w:p>
    <w:p/>
    <w:p>
      <w:pPr>
        <w:spacing w:lineRule="exact" w:line="560" w:before="0" w:after="0"/>
      </w:pPr>
      <w:r>
        <w:rPr>
          <w:rFonts w:ascii="SimHei" w:hAnsi="SimHei" w:eastAsia="黑体"/>
          <w:b/>
          <w:sz w:val="32"/>
        </w:rPr>
        <w:t>5. 我省深入实施固体废物综合治理行动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我省坚持减量化、资源化、无害化原则，深入实施固体废物综合治理行动，积极推进全域“无废城市”高质量建设。“十四五”以来，全域启动“无废城市”建设，建设“无废企业”“无废乡村”“无废港口”“无废马拉松”等“无废细胞”6000余个。具体举措如下：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是探索布局“新三样”固废区域处理中心。随着“新三样”固废（废旧动力电池、废旧风电设备、废旧光伏设备）问题逐步显现，我省已率先出台退役风电机组、退役光伏设备利用处置污染控制技术规范；推动废弃电器电子产品、“新三样”生产企业落实生产者延伸责任，推进退役充电设施、废旧通信设备和AI算力中心固废回收处置监管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是打造一批国家级“无废企业”“无废集团”“无废园区”。聚焦先进钢铁、绿色化工、生物医药等产业，深化以“无废细胞”为抓手的绿色转型；“一降一升”抓好工业固废综合利用，降低产生强度，前端推行绿色设计、过程推行绿色制造，提升综合利用水平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是深化危险废物监管和利用处置能力改革。推进危险废物“五即”（即产生、即包装、即称重、即打码、即入库）规范化建设和转移利用处置“一码贯通”；优化利用处置结构，严格限制可减量的危险废物直接填埋，探索开展集中利用处置设施绩效分级管理。</w:t>
      </w:r>
    </w:p>
    <w:p>
      <w:pPr>
        <w:spacing w:lineRule="exact" w:line="560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是持续开展固体废物领域专项整治。紧盯重点领域、重点地区、重点问题，开展非法倾倒、工业固废违法违规、历史遗留堆存、废弃设备和消费品非法拆解等专项整治，完善综合治理长效机制，大力发展循环经济。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（信息来源：河北日报10月27日《我省深入实施固体废物综合治理行动》  https://www.163.com/dy/article/LA7Q3E6T05568W0A.html）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