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黑体" w:hAnsi="黑体" w:eastAsia="黑体"/>
          <w:b/>
          <w:sz w:val="44"/>
        </w:rPr>
        <w:t>媒体信息摘报</w:t>
      </w:r>
    </w:p>
    <w:p>
      <w:pPr>
        <w:spacing w:line="240" w:lineRule="auto"/>
        <w:jc w:val="center"/>
      </w:pPr>
      <w:r>
        <w:rPr>
          <w:rFonts w:ascii="仿宋_GB2312" w:hAnsi="仿宋_GB2312" w:eastAsia="仿宋_GB2312"/>
          <w:b w:val="0"/>
          <w:sz w:val="32"/>
        </w:rPr>
        <w:t>2026年10月19日　省级党报经济·科技·消费创新举措精选（福建省可借鉴）</w:t>
      </w:r>
    </w:p>
    <w:p>
      <w:pPr>
        <w:spacing w:line="240" w:lineRule="auto" w:before="240"/>
      </w:pPr>
      <w:r>
        <w:rPr>
          <w:rFonts w:ascii="黑体" w:hAnsi="黑体" w:eastAsia="黑体"/>
          <w:b/>
          <w:sz w:val="32"/>
        </w:rPr>
        <w:t>1. 词元引擎：驱动智能经济跃迁</w:t>
      </w:r>
    </w:p>
    <w:p>
      <w:pPr>
        <w:spacing w:lineRule="exact" w:line="560"/>
      </w:pPr>
      <w:r>
        <w:rPr>
          <w:rFonts w:ascii="仿宋_GB2312" w:hAnsi="仿宋_GB2312" w:eastAsia="仿宋_GB2312"/>
          <w:b w:val="0"/>
          <w:sz w:val="32"/>
        </w:rPr>
        <w:t>浙江以词元为智能经济核心引擎，提出系统发展路径。一是固本强基，打通“电力—算力—词元”转化链条。以词元产出能效为导向统筹全省算力布局，推动智算中心与绿电资源协同配置，探索算电协同的浙江方案；扩大“算力券”普惠覆盖面，降低中小企业用智门槛、用算成本。二是建章立制，率先培育词元要素市场。依托国家数据要素综合试验区，研究出台省级词元经济专项政策，搭建词元统计监测、质量评估与交易规则体系，把词元吞吐量作为衡量智能经济的核心指标；打通算力、数据、模型、词元全链条交易衔接机制，深化“有效词元”价值评估研究。三是场景牵引，推动“产业AI化”与“AI原生化”双轮驱动。紧扣“415X”先进制造业集群升级“产业大脑+未来工厂”，高标准运营医疗、具身智能等国家级中试基地，打造标杆应用场景与工业智能体；探索按业务结果计价模式，将“一人公司”扶持由地市试点升级为省级行动，集聚壮大智能体服务商等AI原生市场主体。四是厚植生态，统筹人才、治理与开放合作。对标2030年数字高技能人才40万目标营造吸引顶尖算法人才生态；对医疗、金融、政务等高风险场景分级分类监管；依托全球数字贸易博览会、魔搭开源社区等平台参与全球AI治理与词元计量标准制定，推动“浙产词元”拓展海外市场。</w:t>
      </w:r>
    </w:p>
    <w:p>
      <w:pPr>
        <w:spacing w:lineRule="exact" w:line="560"/>
      </w:pPr>
      <w:r>
        <w:rPr>
          <w:rFonts w:ascii="仿宋_GB2312" w:hAnsi="仿宋_GB2312" w:eastAsia="仿宋_GB2312"/>
          <w:b w:val="0"/>
          <w:sz w:val="32"/>
        </w:rPr>
        <w:t>（信息来源：浙江日报10月19日《词元引擎：驱动智能经济跃迁》  https://zjrb.zjol.com.cn/html/2026-10/19/content_3939261.htm）</w:t>
      </w:r>
    </w:p>
    <w:p>
      <w:pPr>
        <w:spacing w:line="240" w:lineRule="auto" w:before="240"/>
      </w:pPr>
      <w:r>
        <w:rPr>
          <w:rFonts w:ascii="黑体" w:hAnsi="黑体" w:eastAsia="黑体"/>
          <w:b/>
          <w:sz w:val="32"/>
        </w:rPr>
        <w:t>2. “向东是大海”，是更广阔的“深蓝”</w:t>
      </w:r>
    </w:p>
    <w:p>
      <w:pPr>
        <w:spacing w:lineRule="exact" w:line="560"/>
      </w:pPr>
      <w:r>
        <w:rPr>
          <w:rFonts w:ascii="仿宋_GB2312" w:hAnsi="仿宋_GB2312" w:eastAsia="仿宋_GB2312"/>
          <w:b w:val="0"/>
          <w:sz w:val="32"/>
        </w:rPr>
        <w:t>江苏连续三年召开专题会议，统筹海洋经济与沿海经济带高质量发展，提出系统举措。一是聚力打造十大海洋产业链，形成以船舶海工、海洋新能源为支柱，海洋交通物流、海洋药物和生物制品、现代渔业等协同发展的现代产业体系。二是实施海洋产业“123”引进培育工程，聚焦龙头领军企业、涉海重大项目、海洋产业特色园区，全链条推动产业提质增效。三是强化科技支撑，省科技厅支持11家全国重点实验室与沿海龙头企业建立“1+1+X”联合联动机制，布局建设8家海洋领域省级重点实验室，统筹实施省级科技攻关项目；南大、东大等10所高校与沿海地区高新区开展“双高协同”创新发展试点。四是差异化布局沿海三市：南通推进海工、船舶产业（规模占全国1/3、1/8，LNG接卸量占全省70%），盐城海上风电并网超720万千瓦居全国首位、海上风电整机和叶片产能占全国40%、20%，连云港绿色石化年产值突破2400亿元；盐城实施“3+3+X”海洋产业体系培育工程，焕新三大传统产业、做强三大新兴产业、布局智慧海洋等未来产业。五是锚定目标，省“十五五”海洋经济发展规划提出今后五年全省海洋生产总值年均增速力争高于GDP增速1个百分点；去年全省海洋生产总值1.08万亿元、占全国近1/10，今年上半年实现5454.3亿元、增长6.1%，沿海三市海洋经济规模占全省比重达53%。</w:t>
      </w:r>
    </w:p>
    <w:p>
      <w:pPr>
        <w:spacing w:lineRule="exact" w:line="560"/>
      </w:pPr>
      <w:r>
        <w:rPr>
          <w:rFonts w:ascii="仿宋_GB2312" w:hAnsi="仿宋_GB2312" w:eastAsia="仿宋_GB2312"/>
          <w:b w:val="0"/>
          <w:sz w:val="32"/>
        </w:rPr>
        <w:t>（信息来源：新华日报10月19日《“向东是大海”，是更广阔的“深蓝”》  https://www.xhby.net/content/s6ad55b21e4b035de72d04a52.html）</w:t>
      </w:r>
    </w:p>
    <w:p>
      <w:pPr>
        <w:spacing w:line="240" w:lineRule="auto" w:before="240"/>
      </w:pPr>
      <w:r>
        <w:rPr>
          <w:rFonts w:ascii="黑体" w:hAnsi="黑体" w:eastAsia="黑体"/>
          <w:b/>
          <w:sz w:val="32"/>
        </w:rPr>
        <w:t>3. 服务定制，上海国际化的新底牌</w:t>
      </w:r>
    </w:p>
    <w:p>
      <w:pPr>
        <w:spacing w:lineRule="exact" w:line="560"/>
      </w:pPr>
      <w:r>
        <w:rPr>
          <w:rFonts w:ascii="仿宋_GB2312" w:hAnsi="仿宋_GB2312" w:eastAsia="仿宋_GB2312"/>
          <w:b w:val="0"/>
          <w:sz w:val="32"/>
        </w:rPr>
        <w:t>上海提出以“服务定制”作为国际化新底牌，推动入境消费升级。一是从高端产品定制转向生活服务定制，将理发、康养、美食体验、文化导览等刚需高频服务融入街巷肌理，以分布式点位串联步行、骑行路线，让海外游客看见更真实的市井上海。如田子坊口红学苑来消费的客人八成以上为外国人，陕西南路、襄阳南路、巨鹿路一带散落着不少受海内外游客喜爱的小众定制小店。二是培育多元定制赛道：中医康养定制（培养懂双语的康养技师，打造专属外国友人的康养体验）、本帮美食定制（小笼、蛋饼等做成可亲手参与的体验项目）、海派文化体验定制（书法、茶艺、武术、沪语体验做成双语小班化课程，将非遗变为可上手沉浸式体验）、美业定制。三是强化人才支撑，建议出台专项培训补贴、门店扶持政策，规模化培养“手艺+外语”的复合型国际化服务人才，给优秀国际服务匠人配套居住证积分、评优、创业扶持等激励。这一服务型“上海定制”将成为吸引全球消费、体现城市服务包容度与精细度的新名片。背景数据：2025年上海接待入境游客936.02万人次、同比增长39.58%，美国、韩国客群服务消费金额占比分别为79.32%、66.59%；目前上海生活服务业从业人员能用英语基本交流的不足10%。</w:t>
      </w:r>
    </w:p>
    <w:p>
      <w:pPr>
        <w:spacing w:lineRule="exact" w:line="560"/>
      </w:pPr>
      <w:r>
        <w:rPr>
          <w:rFonts w:ascii="仿宋_GB2312" w:hAnsi="仿宋_GB2312" w:eastAsia="仿宋_GB2312"/>
          <w:b w:val="0"/>
          <w:sz w:val="32"/>
        </w:rPr>
        <w:t>（信息来源：解放日报10月19日《服务定制，上海国际化的新底牌》  https://www.jfdaily.com/staticsg/res/html/journal/detail.html?code=jfrb&amp;date=2026-10-19&amp;id=540291&amp;page=09）</w:t>
      </w:r>
    </w:p>
    <w:p>
      <w:pPr>
        <w:spacing w:line="240" w:lineRule="auto" w:before="240"/>
      </w:pPr>
      <w:r>
        <w:rPr>
          <w:rFonts w:ascii="黑体" w:hAnsi="黑体" w:eastAsia="黑体"/>
          <w:b/>
          <w:sz w:val="32"/>
        </w:rPr>
        <w:t>4. 网拍起落间，客潮涌江城</w:t>
      </w:r>
    </w:p>
    <w:p>
      <w:pPr>
        <w:spacing w:lineRule="exact" w:line="560"/>
      </w:pPr>
      <w:r>
        <w:rPr>
          <w:rFonts w:ascii="仿宋_GB2312" w:hAnsi="仿宋_GB2312" w:eastAsia="仿宋_GB2312"/>
          <w:b w:val="0"/>
          <w:sz w:val="32"/>
        </w:rPr>
        <w:t>武汉将2026武汉网球公开赛作为“2026湖北金秋消费季体育促消费系列活动”武汉主会场核心赛事，把“票根经济”做成系统性消费接口。一是投放消费券，全省投放2000万元“乐动湖北”消费券，武汉主会场配套1000万元体育消费券，覆盖文旅、餐饮、零售等多场景；赛事期间系统推出票根经济举措，票根不仅通向球场，更通向景区、商圈、街巷。二是激活票根价值，持票根可再领50元金秋消费券，上传票根可申领300元文旅券包，凭一张武网票根可解锁餐饮、文旅等多重消费优惠，把赛事从单点观赛延伸为以票根为链、以城市为场的消费动线，从“看完球就走”变为“凭票根留下来”。三是商家联动，武网嘉年华超百户商家中40家推出票根专属优惠，嘉年华设赤壁青砖茶、汉绣、湖北文旅等展台，开赛三天接待约5万人次、现场销售额突破130万元。四是拓展消费场景，武商集团五大商圈和多个商业体设“第二现场”大屏直播，开赛前三天核心商圈传播覆盖超500万人次，将赛事氛围从光谷延伸至整座城市；消费动线沿“跟着武网京网游湖北”向全省延伸，辐射文旅、餐饮、零售。背景数据：九天赛事近20万人次涌入，顶级赛事把运动激情转化为消费活力；赛场内外联动，将网球轨迹与城市消费动线重叠。</w:t>
      </w:r>
    </w:p>
    <w:p>
      <w:pPr>
        <w:spacing w:lineRule="exact" w:line="560"/>
      </w:pPr>
      <w:r>
        <w:rPr>
          <w:rFonts w:ascii="仿宋_GB2312" w:hAnsi="仿宋_GB2312" w:eastAsia="仿宋_GB2312"/>
          <w:b w:val="0"/>
          <w:sz w:val="32"/>
        </w:rPr>
        <w:t>（信息来源：湖北日报10月19日《网拍起落间，客潮涌江城》  https://news.hubeidaily.net/pc/c_6083587.html）</w:t>
      </w:r>
    </w:p>
    <w:p>
      <w:pPr>
        <w:spacing w:line="240" w:lineRule="auto" w:before="240"/>
      </w:pPr>
      <w:r>
        <w:rPr>
          <w:rFonts w:ascii="黑体" w:hAnsi="黑体" w:eastAsia="黑体"/>
          <w:b/>
          <w:sz w:val="32"/>
        </w:rPr>
        <w:t>5. 洞察消费需求 撬动全球销量</w:t>
      </w:r>
    </w:p>
    <w:p>
      <w:pPr>
        <w:spacing w:lineRule="exact" w:line="560"/>
      </w:pPr>
      <w:r>
        <w:rPr>
          <w:rFonts w:ascii="仿宋_GB2312" w:hAnsi="仿宋_GB2312" w:eastAsia="仿宋_GB2312"/>
          <w:b w:val="0"/>
          <w:sz w:val="32"/>
        </w:rPr>
        <w:t>广交会以“先进制造”为主题，聚焦新能源、智能制造、具身智能等全球采购热点，专门设置服务机器人展区，向全球客商展示国产具身智能装备实战落地能力。从室外地面到玻璃窗面清洗，从复杂庭院到水下泳池清洁，服务机器人争相揽下海外用户的“家务活”，广东凌度智能玻璃清洁机器人现场成交超千台、意向客户累计需求100万美元左右。中国企业推动科技优势转化为出口竞争力，具体路径如下。一是从“卖产品”向“交方案”转变，企业把行业经验提前封装成“工艺包”，产品出海从单一硬件销售变成完整服务链条。二是构建全周期服务体系，覆盖方案咨询、部署调试、培训交付、持续运维，如机器狗在美国仓储中心巡检效率提升200%、告警准确率超95%，在瑞士核电站实现7×24小时自主巡检。三是升级全链条体系竞争，比拼重心由传统产品销售全面升级为涵盖“研发、制造、品牌、服务及仓配”的全链条体系，通过场景化展示、体验式消费为产品注入科技感与人文关怀。四是在各大洲布局办公室，配备当地工作人员和售后工程师，随时为海外用户搭建完整数字化业务。行业数据：2026年前8个月广东清洁机器人出口额123.46亿元，占全省机器人出口额83.88%，与江苏合计占全国近九成；今年1月清洁机器人正式获得专属海关税号，标志行业进入规模化出海阶段。</w:t>
      </w:r>
    </w:p>
    <w:p>
      <w:pPr>
        <w:spacing w:lineRule="exact" w:line="560"/>
      </w:pPr>
      <w:r>
        <w:rPr>
          <w:rFonts w:ascii="仿宋_GB2312" w:hAnsi="仿宋_GB2312" w:eastAsia="仿宋_GB2312"/>
          <w:b w:val="0"/>
          <w:sz w:val="32"/>
        </w:rPr>
        <w:t>（信息来源：南方日报10月19日《洞察消费需求 撬动全球销量》  https://epaper.nfnews.com/nfdaily/html/202610/19/content_10183849.html）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