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2026年10月30日　省级党报经济·科技·消费创新举措精选（福建省可借鉴）</w:t>
      </w:r>
    </w:p>
    <w:p>
      <w:pPr>
        <w:spacing w:before="240" w:after="80" w:lineRule="exact" w:line="560"/>
      </w:pPr>
      <w:r>
        <w:rPr>
          <w:rFonts w:ascii="黑体" w:hAnsi="黑体" w:eastAsia="黑体"/>
          <w:b/>
          <w:sz w:val="32"/>
        </w:rPr>
        <w:t>1. 湖南6条产业链亮出“精准打法”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今年9月，省制造强省建设领导小组办公室牵头编制工程机械、轨道交通装备、先进钢铁材料、现代石化、新一代信息技术、智能衡器计量6条重点产业链“四个一批”清单，推动重点产业链提质增效。清单贯通技术、配套、项目、平台，共梳理重点任务411项：突破216项关键共性技术，研发69项关键配套零部件，招引67个产业链重点企业和项目，提质和新建59个公共服务平台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一是摸清家底、把有限资源用在刀刃上。清单从企业真实需求、关键环节瓶颈出发，结合市州资源禀赋和产业基础，把产业链断点、堵点、弱点摆上桌面。清单实行动态滚动管理，成熟一批、验收一批，再储备一批、毕业一批，有进有出；政策、资金、服务向清单项目聚焦，在专项资金安排、认定授牌、争资争项等方面优先支持，计划2026—2027年完成191项、2030年基本动态完成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二是抓共性短板、向基础环节要最大效益。排在第一序列的216项关键共性技术，由链主企业牵头组建联合体协同攻关，如铁建重工牵头“隧道高效低噪除尘装置”，突破后技术达国际先进水平、预计新增产值10亿元。布局中试验证及成果转化类平台23个，把企业“建不起、用不上”的基础能力变成全链共享的公共支撑，如中科云谷具身智能机器人中试基地计划2027年起接受小批试制、2028年提供完整测试验证服务。定期发布并动态更新重点产业链关键配套零部件推广目录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三是靶向补链、投产才算见效。清单梳理67个重点企业和项目，瞄准断点缺口沿链定向招引，紧盯进口依赖度高、存在断供风险的核心环节；把场景、平台、要素前置打包，让招引项目一落地即嵌进现有产业链。紧扣卡点靶向引龙头，已与宁德时代、紫金矿业、厦门钨业、安踏集团等深化战略合作，形成“省级统筹引领、市州全域联动”一体化招商格局。所有招引项目纳入制造强省重点项目库，专班全程跟踪，跨部门、跨市州堵点有人协调；用好专项资金、技改融资补贴，滞后项目细化责任台账、实行对账销号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（信息来源：湖南日报10月30日《湖南6条产业链亮出“精准打法”》  https://news.10jqka.com.cn/field/20261030/681263964.shtml）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【产业链】【共性技术攻关】</w:t>
      </w:r>
    </w:p>
    <w:p>
      <w:pPr>
        <w:spacing w:before="240" w:after="80" w:lineRule="exact" w:line="560"/>
      </w:pPr>
      <w:r>
        <w:rPr>
          <w:rFonts w:ascii="黑体" w:hAnsi="黑体" w:eastAsia="黑体"/>
          <w:b/>
          <w:sz w:val="32"/>
        </w:rPr>
        <w:t>2. 28.34亿元国资撬动超248亿元社会资本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去年10月，“产投28计划”正式启动，这是成都产投集团首个专注未来产业的创业生态平台。10月28日，2026成都产投产业投资生态大会暨“产投28计划”年度大会发布周年答卷。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一是设立固定开放日、常态化链接要素。“28”取自成都区号“028”，也是“9+9+10”现代化产业体系3个数字之和。成都把每月28日设为固定开放日，常态化开展项目路演、集中签约等活动，让好企业被看见、好资金能聚合、好项目能落地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二是以国资为支点撬动社会资本。计划启动以来，累计汇聚来自全国25个省级行政区、68座城市的1068个科创项目，助力85家企业获得投资，以28.34亿元国资投资撬动超248亿元社会资本；45家本土企业获得资金扶持，20家外地企业落户蓉城，5家企业把总部迁到成都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三是紧扣产业链布局、重点环节全覆盖。截至目前，“产投28计划”在成都17条重点产业链均有布局，其中实现集成电路、人工智能、生物医药、商业航天4条产业链关键环节全覆盖。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四是升级为市级平台、健全生态体系。成都下一步将打造成都国资科创生态体系“一中心五平台”，其中升级资本赋能平台将“产投28计划”升级为成都市“产投28计划”，通过各平台协同联动进一步打通资本、技术、场景、人才等要素对接渠道。到2027年，成都产投力争完成200亿元产业投资和资本合作、落地100个产业项目，重点关注集成电路、人工智能、生物医药等产业链，聚焦先进封装、半导体设备、具身智能和基因治疗等细分领域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五是拓宽项目入口、深度融入建圈强链。升级项目入口方面，打破“大而全”模式，按细分赛道举办专场路演，同时主动“走出去”前往北京、上海、深圳等创新高地开展巡回路演；打通项目挖掘与成都市级资源通道，让入库项目享受从政策匹配、要素保障到市场对接的全周期赋能；协同成都场景公司、链主企业举办产业对接会，为企业提供真实试炼场。目前成都产投科技创新中心已在白鹭湾投用，定向承接“产投28计划”遴选的优质早期项目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（信息来源：四川日报10月30日《28.34亿元国资撬动超248亿元社会资本》  https://k.sina.com.cn/article_3167104922_bcc62f9a02001xa62.html）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【国资招商】【未来产业】</w:t>
      </w:r>
    </w:p>
    <w:p>
      <w:pPr>
        <w:spacing w:before="240" w:after="80" w:lineRule="exact" w:line="560"/>
      </w:pPr>
      <w:r>
        <w:rPr>
          <w:rFonts w:ascii="黑体" w:hAnsi="黑体" w:eastAsia="黑体"/>
          <w:b/>
          <w:sz w:val="32"/>
        </w:rPr>
        <w:t>3. 前瞻布局新赛道 壮大电子信息制造业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电子信息制造业是天津市新型工业化的战略支柱产业。在市政府新闻办举行的“开局起步‘十五五’”系列主题新闻发布会上，市工业和信息化局介绍，今年以来天津抢抓AI蓬勃发展机遇，推动产业发展持续提质增效，1至9月实现产值超1380亿元，增加值增长7.7%，高于全市工业3.1个百分点，拉动作用明显。“十五五”期间，天津将进一步提升电子信息制造业发展能级，在巩固集成电路、智能终端发展优势的同时，加大可穿戴设备、光模块、太空算力等新赛道布局力度，助力全市高质量发展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一是巩固优势产业、拓展新赛道布局。近年来，天津在可穿戴设备、超算智算、光模块等领域提前布局，储备发展后劲。“十五五”期间将在巩固集成电路、智能终端两大发展优势的基础上，重点加大可穿戴设备、光模块、太空算力等新赛道布局力度，培育数字经济新增长点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二是以应用为契机攻关关键环节。鼓励重点企业以可穿戴设备深入应用为契机，加快在光学模组、微显示器件、光感材料等关键技术环节的技术研发与项目建设，抢抓市场发展机遇。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三是推动芯片企业与终端企业协同适配。推动芯片企业与终端企业协同，在具身智能、自动驾驶等领域深度适配，拓展应用场景，打通“芯片—终端—场景”链条。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四是支持重点企业创新攻关。支持重点企业加大太空算力、光模块、液冷散热等领域创新攻关，突破关键技术，打造数字经济新优势。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五是以协同战略牵引集群生态。以京津冀协同发展战略为牵引，用好天津港枢纽优势，汇聚科教人才资源，做强产业集群，优化发展生态，全力推动电子信息制造业迈向更高层级。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（信息来源：天津日报10月30日《前瞻布局新赛道 壮大电子信息制造业》  http://news.big5.enorth.com.cn/system/2026/10/30/059944544.shtml）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【电子信息】【新赛道】</w:t>
      </w:r>
    </w:p>
    <w:p>
      <w:pPr>
        <w:spacing w:before="240" w:after="80" w:lineRule="exact" w:line="560"/>
      </w:pPr>
      <w:r>
        <w:rPr>
          <w:rFonts w:ascii="黑体" w:hAnsi="黑体" w:eastAsia="黑体"/>
          <w:b/>
          <w:sz w:val="32"/>
        </w:rPr>
        <w:t>4. 加强关键技术攻关 打造AI标杆应用场景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在市政府新闻办举行的“开局起步‘十五五’”系列主题新闻发布会上，市科技局介绍了天津推进数字技术创新的具体举措。“十四五”以来，天津依托国家新一代人工智能创新发展试验区建设，出台《天津市促进人工智能创新发展行动方案（2025—2027年）》，组织实施人工智能科技重大专项，组建智能计算与生成式通用智能、先进计算处理器与算力网络等创新联合体，支持数字领域重点企业、高校、科研院所开展联合关键技术攻关，取得中科曙光国内首个全国产十万卡AI超集群、麒麟V11操作系统等一批重大科技成果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面向“十五五”，市科技局将紧扣数字经济发展规划重点任务布局，持续加强关键技术攻关，推动技术示范应用，加快构建创新生态。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一是抓创新、开展关键技术攻关。梳理高校院所、重点企业、人才团队等创新要素，编制创新资源图谱，细化数字领域关键技术攻关方向；组织实施人工智能科技重大专项，围绕“AI+信创”、算力平台、智能机器人、“AI+应用场景”等重点领域，加快开展关键技术攻关，力争形成一批有影响力的重大科技成果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二是抓赋能、推动技术示范应用。以落实《天津市促进人工智能创新发展行动方案（2025—2027年）》为抓手，围绕科研、制造、医疗、教育、康养、文旅、城市治理等重点领域，加快实施“人工智能+”行动；组织开展人工智能十大标杆应用场景评选，打造一批示范性强、可推广的典型场景；加快推动人工智能赋能科学研究，建设一批自主实验室，系统构建“算力共用、算法共享、生态共建”的科学智能支撑体系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三是抓生态、营造创新发展氛围。落实支持科技型企业高质量发展相关政策，完善科技型企业梯度培育体系，加大对数字领域科技型企业的支持力度，从技术攻关、平台搭建、创业孵化、金融支撑等多方位支持企业发展；依托天津市人工智能（AI+信创）创新生态联盟，持续举办各类对接交流活动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（信息来源：天津日报10月30日《加强关键技术攻关 打造AI标杆应用场景》  http://news.big5.enorth.com.cn/system/2026/10/30/059944543.shtml）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【人工智能】【标杆场景】</w:t>
      </w:r>
    </w:p>
    <w:p>
      <w:pPr>
        <w:spacing w:before="240" w:after="80" w:lineRule="exact" w:line="560"/>
      </w:pPr>
      <w:r>
        <w:rPr>
          <w:rFonts w:ascii="黑体" w:hAnsi="黑体" w:eastAsia="黑体"/>
          <w:b/>
          <w:sz w:val="32"/>
        </w:rPr>
        <w:t>5. 超算智算双轮驱动 共建京津冀算力服务高地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算力网作为国家“六张网”之一，是支撑数字中国建设、发展新质生产力的核心底座。在市政府新闻办举行的“开局起步‘十五五’”系列主题新闻发布会上，市数据局介绍，天津推动算力资源加快融入全国一体化算力网，超算+智算双轮驱动，“天河”服务科研、制造、生物医药领域，武清布局低时延智算集群；超算互联网平台在津落地、算力交易平台建成投用，异构算力联网纳管，集聚整机、GPU、操作系统、大模型等产业链主体，孵化工业、港口、生物医药等垂类模型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下一步，市数据局将统筹算力供给、调度流通、场景赋能、产业应用、安全保障，重点抓好六方面工作：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一是强化顶层统筹。编制新一轮算力产业高质量实施方案，推动超算、智算、通用算力和边缘算力“四算合一”，加快空天一体化算力部署，推动各区错位发展。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二是深度接入一体化算力调度体系。建设算力互联互通与调度平台，承接周边区域大模型推理、工业仿真等业务，共建区域算力服务高地。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三是抓实算电协同。统筹算力布局与绿电消纳，建立算电负荷联动机制，推广液冷、余热回收。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四是延伸产业链条。坚持以用促建，服务先进制造、港口物流、智慧城市、具身智能等赛道，培育算力服务器、调度软件、模型微调等产业，布局词元经济新赛道。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五是推进算网融合。建设确定性、高通量算力骨干网络，完善算力互联、编排、交易能力，推动算力、数据、算法协同，向“算力+数据+模型”一体化转型。</w:t>
      </w:r>
    </w:p>
    <w:p>
      <w:pPr>
        <w:spacing w:lineRule="exact" w:line="560" w:after="40"/>
      </w:pPr>
      <w:r>
        <w:rPr>
          <w:rFonts w:ascii="仿宋_GB2312" w:hAnsi="仿宋_GB2312" w:eastAsia="仿宋_GB2312"/>
          <w:b w:val="0"/>
          <w:sz w:val="32"/>
        </w:rPr>
        <w:t>六是守牢安全底线。健全算力基础设施、调度平台、数据流通全链条防护机制，保障算力网络自主可控。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（信息来源：天津日报10月30日《超算智算双轮驱动 共建京津冀算力服务高地》  http://news.enorth.com.cn/system/2026/10/30/059944541.shtml）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4"/>
        </w:rPr>
        <w:t>【算力网络】【算电协同】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