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center"/>
      </w:pPr>
      <w:r>
        <w:rPr>
          <w:rFonts w:ascii="黑体" w:hAnsi="黑体" w:eastAsia="黑体"/>
          <w:b/>
          <w:sz w:val="32"/>
        </w:rPr>
        <w:t>9月14日媒体信息摘报</w:t>
      </w:r>
    </w:p>
    <w:p>
      <w:pPr>
        <w:spacing w:line="560" w:lineRule="exact"/>
        <w:jc w:val="center"/>
      </w:pPr>
      <w:r>
        <w:rPr>
          <w:rFonts w:ascii="仿宋_GB2312" w:hAnsi="仿宋_GB2312" w:eastAsia="仿宋_GB2312"/>
          <w:b w:val="0"/>
          <w:sz w:val="32"/>
        </w:rPr>
        <w:t>（2026年9月14日）</w:t>
      </w:r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1. 选准赛道集聚成势——江西首批经济强县培育壮大特色优势产业的调查与思考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江西日报报道：江西在全省73个县（市）中科学选定首批经济强县、农业强县、文旅美县、生态名县共25个，首批7个经济强县2025年贡献全省十分之一以上经济总量。首批经济强县以四个机制蹚出特色优势产业发展之路。一是创新服务机制：贵溪经开区推行"片区长+网格长+网格员"三级联动，创新"企业投产一件事"场景，审批效率提高50%以上；信丰县对标深圳打造"信速办"品牌，"免申即享"事项占比由56%提升至87%；南昌县制造业专班实行"半小时响应+全程代办"；樟树市升级"药都政企会客厅"，27名驻企服务专员随叫随到。二是做强链主集群：坚持"一县一主业"，南昌县以江铃集团为链主聚集300余家配套企业，2025年汽车及装备产业链产值达748.56亿元；贵溪市以江铜贵溪冶炼厂为链主，带动160家规上铜企业实现营业收入3362亿元。三是数智转型：玉山整县上云获批省级试点；江铃控股焊装车间自动化率达92%，每千台车停机时间从100分钟压到10.5分钟；丰城245家规上企业实施数改、改造率约86%。四是强化创新驱动：丰城把3毫米铜丝延展成4.5微米电子铜箔，湖口下水国内首制万吨级纯电动智能海船，樟树为"樟树枳壳"刻上区块链数字身份证。报道按优势跃迁型、资源转化型、借势突围型对7县分类施策，提出绘制价值链图谱锚定高附加值环节、实施"一县一品"区域品牌培育、推进知识产权质押融资和投贷联动等建议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（信息来源：江西日报 2026年9月14日）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原文标题及链接：选准赛道集聚成势——江西首批经济强县培育壮大特色优势产业的调查与思考</w:t>
      </w:r>
    </w:p>
    <w:p>
      <w:pPr>
        <w:spacing w:line="560" w:lineRule="exact"/>
      </w:pPr>
      <w:hyperlink r:id="rId9">
        <w:r>
          <w:rPr>
            <w:rFonts w:ascii="仿宋_GB2312" w:eastAsia="仿宋_GB2312"/>
            <w:sz w:val="32"/>
            <w:color w:val="0563C1"/>
            <w:u w:val="single"/>
          </w:rPr>
          <w:t>https://jxrb.jxwmw.cn/system/2026/09/14/031243574.shtml</w:t>
        </w:r>
      </w:hyperlink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2. 生产性服务业"链"上发力 如何重塑江西营商环境？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江南都市报报道：江西围绕科技服务、现代物流、软件信息、节能环保、商务服务五大领域全链条发力生产性服务业。一是科技服务与工业设计下沉：南昌青葵智造的AI化学机器人一周实验量相当于一名化学硕士三年总量，可直接过滤掉80%的无效实验；全省检验检测行动已服务企业9209家、降本超2000万元；专业工业设计使企业单品溢价提升超20%；赣州一家家具企业引入智能排产系统后，订单交付周期从25天压缩至12天，库存周转率提升35%。二是物流降本：峡江县探索"产业+物流"协同模式，智慧平台让空驶率下降30%，18家园区企业物流成本直降20%以上；瑞金国际陆港创新"陆港+船公司"模式，通关时间压到6小时以内；杨家岭货运站改造后物流成本下降30%，预计每年为全县工业企业省下超5000万元；多式联运"一单制"在全省推广。三是融资提速：小微企业通过"赣金普惠"平台凭日常经营流水数据两天内获批80万元信用贷款；截至2025年末，全省普惠小微贷款余额近1.1万亿元，"赣金普惠"平台撮合融资超7700亿元，90%以上投向民营企业。四是节能与商务服务创新：合同能源管理采取"零投入、共受益"分成模式，万载县一家化工企业余热回收每年节省电费近200万元；南昌经开区中小企业服务中心推出近20项服务"菜单"，法律咨询、上市辅导、知识产权布局等明码标价、按需点单，知识产权代理机构驻点办公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（信息来源：江南都市报 2026年9月14日）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原文标题及链接：生产性服务业"链"上发力 如何重塑江西营商环境？</w:t>
      </w:r>
    </w:p>
    <w:p>
      <w:pPr>
        <w:spacing w:line="560" w:lineRule="exact"/>
      </w:pPr>
      <w:hyperlink r:id="rId10">
        <w:r>
          <w:rPr>
            <w:rFonts w:ascii="仿宋_GB2312" w:eastAsia="仿宋_GB2312"/>
            <w:sz w:val="32"/>
            <w:color w:val="0563C1"/>
            <w:u w:val="single"/>
          </w:rPr>
          <w:t>https://jndsb.jxnews.com.cn/system/2026/09/14/031243619.shtml</w:t>
        </w:r>
      </w:hyperlink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3. 【智造世界·创造美好】一台"闺蜜机"背后的产业链式突破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安徽日报报道：阜阳市颍上县围绕"延链、补链、强链"主线，依托龙头企业带动构建光电器件产业完整链条。一是构建全链条布局：依托翔胜科技、金泰光机电、特锐祥电子等龙头企业，构建起"上游光电原材料和装备—中游面板及模组生产—下游智能电子终端"的完整产业链条，全县集聚电子信息产业上下游企业160余家，2025年产业营收达122.3亿元。二是核心技术攻关：翔胜高端电阻、特锐祥高端电容、觅拓材料光刻胶光敏剂等技术均达国际先进水平；集群攻克国内35项"卡脖子"技术中的3项，每万人发明专利达25件。三是嵌入龙头配套体系：集群企业与中国电子、华为、京东方、比亚迪、TCL等龙头企业协同配套，按照"整机—零部件—关键工艺—产业集群—产业基地"发展路径，重点打造"端""屏""件"三大领域。四是营商环境配套：园区推行"帮办代办"服务，设立"一站式服务"窗口，承接上级下放赋权事项24项，从企业开办到项目建设全程"一窗受理、一站办结"；推行"基金招商"模式，设立科技产业投资基金、招商投资基金，实行"政府引导、专业机构管理、市场化运作"，以股权投资撬动社会资本，服务升级为基金赋能、技术攻关、用工保障的全周期保障。2024年9月该集群获批国家级中小企业特色产业集群，力争到"十五五"末主导产业年产值突破150亿元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（信息来源：安徽日报 2026年9月14日）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原文标题及链接：【智造世界·创造美好】一台"闺蜜机"背后的产业链式突破</w:t>
      </w:r>
    </w:p>
    <w:p>
      <w:pPr>
        <w:spacing w:line="560" w:lineRule="exact"/>
      </w:pPr>
      <w:hyperlink r:id="rId11">
        <w:r>
          <w:rPr>
            <w:rFonts w:ascii="仿宋_GB2312" w:eastAsia="仿宋_GB2312"/>
            <w:sz w:val="32"/>
            <w:color w:val="0563C1"/>
            <w:u w:val="single"/>
          </w:rPr>
          <w:t>https://www.ahnews.com.cn/yaowen1/pc/con/2026-09/14/496_1798574.html</w:t>
        </w:r>
      </w:hyperlink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4. 聚链成势，按下目标冲刺"加速键"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四川日报报道：南充市嘉陵区锚定"全年汽车汽配产业总产值突破120亿元"目标，以延链、补链、强链推动汽车汽配产业集群提质扩容。一是精准招商补链：针对新能源汽车"三电"核心部件长期依赖外地采购的短板，引进浙江远程智芯科技公司年产20万套电驱动总成项目，直接落地在吉利四川商用车二期项目现有厂房内，产品出厂即可"门对门"配套，项目投产后南充新能源商用车本地配套率将由50%提升至60%，最快2027年一季度投产，年产值预计达15亿元。目前全区集聚汽车汽配规上企业18家、规下配套企业34家。二是监督护航营商：嘉陵区纪委监委将优化营商环境作为政治监督重要内容，由监督检查室、派驻纪检监察组、地方纪委监委三部门联动，组建纪检监察机关与区发展改革局、区审计局等部门协同的监督专班，深入项目审批、要素保障、资金拨付等关键环节为企业纾困。三是设立"企业宁静日"：南充市要求任何部门每月1至20号原则上不得自行组织到企业开展检查、调研工作，推动"随叫随到、无事不扰"服务模式落地。四是强化要素保障：《南充市聚焦要素保障优化营商环境若干措施》正式发布，14条举措以"控成本"为核心、以"优生态"为重点，围绕用地、金融服务、用能、物流、用工等方面破解要素保障瓶颈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（信息来源：四川日报 2026年9月14日）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原文标题及链接：聚链成势，按下目标冲刺"加速键"</w:t>
      </w:r>
    </w:p>
    <w:p>
      <w:pPr>
        <w:spacing w:line="560" w:lineRule="exact"/>
      </w:pPr>
      <w:hyperlink r:id="rId12">
        <w:r>
          <w:rPr>
            <w:rFonts w:ascii="仿宋_GB2312" w:eastAsia="仿宋_GB2312"/>
            <w:sz w:val="32"/>
            <w:color w:val="0563C1"/>
            <w:u w:val="single"/>
          </w:rPr>
          <w:t>https://epaper.scdaily.cn/shtml/scrb/20260914/1089548.html</w:t>
        </w:r>
      </w:hyperlink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5. "十五五"时期 四川该怎么更好融入全国统一大市场？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四川日报刊文梳理四川融入全国统一大市场的改革路径。制度与要素领域的具体做法包括：一是完善市场基础制度，出台《四川省社会信用条例》，构建产权保护、市场准入、公平竞争、社会信用四大省级制度框架，推行异地同标改革，实现川渝营业执照异地互办互发，落地"信易贷""信用代证"。二是深化要素市场化改革，19个试点县累计入市农村集体经营性建设用地133宗、1591亩；出台全国首个省级人力资源市场建设指导文件，357项高频民生事项实现川渝异地通办；深化天府（四川）联合股权交易中心改革，实施"融雪行动"；在国家电网经营区内率先完成电力交易机构股份制改造，实现川渝电力余缺互济；设立全国首个省级水权交易服务中心。三是构建现代流通体系，2025年中欧班列（成渝）开行量超5000列。四是迭代市场监管体系，落实"首违免罚""轻微不罚"容错机制，将招投标、政府采购、招商引资作为公平竞争审查重点。五是推进川渝市场一体化，"川渝通办"持续扩容，医疗检查检验互认301项，川渝高竹新区探索形成经济区与行政区适度分离100余项改革创新成果。针对地方保护、要素错配、流通短板等堵点，文章提出：引入省级第三方常态化评估公平竞争审查并纳入绩效考核，建立重大招商项目省级提级报备审查，搭建建设用地指标线上交易平台，推动职称跨市域互认，推广多式联运"一单制""一箱制"，出台全省统一处罚裁量细则整治同案不同罚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（信息来源：四川日报 2026年9月14日）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原文标题及链接："十五五"时期 四川该怎么更好融入全国统一大市场？</w:t>
      </w:r>
    </w:p>
    <w:p>
      <w:pPr>
        <w:spacing w:line="560" w:lineRule="exact"/>
      </w:pPr>
      <w:hyperlink r:id="rId13">
        <w:r>
          <w:rPr>
            <w:rFonts w:ascii="仿宋_GB2312" w:eastAsia="仿宋_GB2312"/>
            <w:sz w:val="32"/>
            <w:color w:val="0563C1"/>
            <w:u w:val="single"/>
          </w:rPr>
          <w:t>https://epaper.scdaily.cn/shtml/scrb/20260914/1089556.html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xrb.jxwmw.cn/system/2026/09/14/031243574.shtml" TargetMode="External"/><Relationship Id="rId10" Type="http://schemas.openxmlformats.org/officeDocument/2006/relationships/hyperlink" Target="https://jndsb.jxnews.com.cn/system/2026/09/14/031243619.shtml" TargetMode="External"/><Relationship Id="rId11" Type="http://schemas.openxmlformats.org/officeDocument/2006/relationships/hyperlink" Target="https://www.ahnews.com.cn/yaowen1/pc/con/2026-09/14/496_1798574.html" TargetMode="External"/><Relationship Id="rId12" Type="http://schemas.openxmlformats.org/officeDocument/2006/relationships/hyperlink" Target="https://epaper.scdaily.cn/shtml/scrb/20260914/1089548.html" TargetMode="External"/><Relationship Id="rId13" Type="http://schemas.openxmlformats.org/officeDocument/2006/relationships/hyperlink" Target="https://epaper.scdaily.cn/shtml/scrb/20260914/108955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