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560" w:lineRule="exact"/>
        <w:jc w:val="center"/>
      </w:pPr>
      <w:r>
        <w:rPr>
          <w:rFonts w:ascii="SimHei" w:cs="SimHei" w:eastAsia="SimHei" w:hAnsi="SimHei"/>
          <w:b/>
          <w:bCs/>
          <w:sz w:val="44"/>
          <w:szCs w:val="44"/>
        </w:rPr>
        <w:t xml:space="preserve">媒体信息摘报</w:t>
      </w:r>
    </w:p>
    <w:p>
      <w:pPr>
        <w:spacing w:after="200" w:before="0" w:line="560" w:lineRule="exact"/>
        <w:jc w:val="center"/>
      </w:pPr>
      <w:r>
        <w:rPr>
          <w:rFonts w:ascii="FangSong_GB2312" w:cs="FangSong_GB2312" w:eastAsia="FangSong_GB2312" w:hAnsi="FangSong_GB2312"/>
          <w:sz w:val="32"/>
          <w:szCs w:val="32"/>
        </w:rPr>
        <w:t xml:space="preserve">2026年7月27日</w:t>
      </w:r>
    </w:p>
    <w:p>
      <w:pPr>
        <w:spacing w:after="200" w:before="200" w:line="560" w:lineRule="exact"/>
        <w:ind w:firstLine="640"/>
      </w:pPr>
      <w:r>
        <w:rPr>
          <w:rFonts w:ascii="FangSong_GB2312" w:cs="FangSong_GB2312" w:eastAsia="FangSong_GB2312" w:hAnsi="FangSong_GB2312"/>
          <w:sz w:val="32"/>
          <w:szCs w:val="32"/>
        </w:rPr>
        <w:t xml:space="preserve">本期摘报精选5条省级党报经济·科技·消费类新闻（福建省除外），聚焦各地创新举措与可借鉴做法，供决策参考。</w:t>
      </w:r>
    </w:p>
    <w:p>
      <w:pPr>
        <w:spacing w:after="200" w:before="400" w:line="560" w:lineRule="exact"/>
      </w:pPr>
      <w:r>
        <w:rPr>
          <w:rFonts w:ascii="SimHei" w:cs="SimHei" w:eastAsia="SimHei" w:hAnsi="SimHei"/>
          <w:b/>
          <w:bCs/>
          <w:sz w:val="32"/>
          <w:szCs w:val="32"/>
        </w:rPr>
        <w:t xml:space="preserve">1. 从资源持有者到创新组织者、产业引领者、城市运营商</w:t>
      </w:r>
    </w:p>
    <w:p>
      <w:pPr>
        <w:spacing w:line="560" w:lineRule="exact"/>
        <w:ind w:firstLine="640"/>
      </w:pPr>
      <w:r>
        <w:rPr>
          <w:rFonts w:ascii="FangSong_GB2312" w:cs="FangSong_GB2312" w:eastAsia="FangSong_GB2312" w:hAnsi="FangSong_GB2312"/>
          <w:sz w:val="32"/>
          <w:szCs w:val="32"/>
        </w:rPr>
        <w:t xml:space="preserve">南京市属国资国企“十五五”发展规划明确发展方向与核心使命，立足建设具有全球影响力的产业科技创新中心主承载区的定位，推动市属国企实现从“资源持有者”向“创新组织者、产业引领者、城市综合运营商”转型，引导国有资本向重要行业、国计民生、战略性新兴产业等重点领域集中集聚，聚力打造创新驱动、集群协同的现代化产业体系。一是明确转型方向与功能定位。规划提出到“十五五”末，国资国企综合实力不断壮大、布局结构明显优化、国企科创能力持续增强，深度对标国家关于国资国企改革发展部署要求，切实履行战略安全支撑、科技和产业引领、公共服务保障等功能使命。二是以企业创新筑牢自主可控产业体系。市属国企南京工艺装备制造股份有限公司从技校转制小厂成长为国内滚动功能部件龙头，产品已嵌入天问二号、空间站机械臂、北斗卫星的精密传动系统；面向数控机床、人形机器人、低空装备、新能源压铸等高端场景，集中攻克三项“卡脖子”核心产品，建成国产化替代完整技术矩阵。三是强化研发投入刚性目标。“十四五”期间南京推行企业科技创新十条支持措施、试点创新激励基金政策，市属国企研发投入年均增长百分之二十以上，牵头组建高端滚动功能部件、轨道交通车地融合等十家市级创新联合体；“十五五”规划明确研发投入强度达百分之四，国高企业、省级以上专精特新企业、创新平台数量增加百分之三十以上，力争规上工业企业研发平台全覆盖。四是以耐心资本保障长效投入。坚持“资本服务实体、金融赋能产业”导向，以适度耐心资本提供长效资金保障，推动国有资本向战略性新兴产业集聚，统筹布局高端装备、生物医药、机器人等实体经济赛道，形成“资本托底、企业攻坚、全域数智赋能”的产业发展新格局。五是以场景为牵引推动科创产业融合。推动科技创新和产业创新深度融合，以场景带动产业焕新，融入全市贯通式科技成果转化体系建设，加快构建自主可控、集群协同的现代化产业体系。</w:t>
      </w:r>
    </w:p>
    <w:p>
      <w:pPr>
        <w:spacing w:after="400" w:before="100" w:line="560" w:lineRule="exact"/>
      </w:pPr>
      <w:r>
        <w:rPr>
          <w:rFonts w:ascii="FangSong_GB2312" w:cs="FangSong_GB2312" w:eastAsia="FangSong_GB2312" w:hAnsi="FangSong_GB2312"/>
          <w:sz w:val="32"/>
          <w:szCs w:val="32"/>
        </w:rPr>
        <w:t xml:space="preserve">（信息来源：新华日报7月27日《从资源持有者到创新组织者、产业引领者、城市运营商》  https://xh.xhby.net/pad/con/202607/27/content_1575763.html）</w:t>
      </w:r>
    </w:p>
    <w:p>
      <w:pPr>
        <w:spacing w:after="200" w:before="400" w:line="560" w:lineRule="exact"/>
      </w:pPr>
      <w:r>
        <w:rPr>
          <w:rFonts w:ascii="SimHei" w:cs="SimHei" w:eastAsia="SimHei" w:hAnsi="SimHei"/>
          <w:b/>
          <w:bCs/>
          <w:sz w:val="32"/>
          <w:szCs w:val="32"/>
        </w:rPr>
        <w:t xml:space="preserve">2. 湖南：新产业拔节 新技术赋能</w:t>
      </w:r>
    </w:p>
    <w:p>
      <w:pPr>
        <w:spacing w:line="560" w:lineRule="exact"/>
        <w:ind w:firstLine="640"/>
      </w:pPr>
      <w:r>
        <w:rPr>
          <w:rFonts w:ascii="FangSong_GB2312" w:cs="FangSong_GB2312" w:eastAsia="FangSong_GB2312" w:hAnsi="FangSong_GB2312"/>
          <w:sz w:val="32"/>
          <w:szCs w:val="32"/>
        </w:rPr>
        <w:t xml:space="preserve">湖南省以新产业、新技术双轮驱动，推动经济结构向新向优，加快培育新质生产力。一是做强北斗产业集聚优势。株洲北斗产业园已集聚关联企业一百八十八家，产业规模达二百二十九点六亿元，落地应用场景四十六个，在全国三十九个北斗规模应用试点城市中排名首位，形成从芯片、终端到行业应用的完整产业链条。二是布局空天与智能装备新赛道。可复用不锈钢液体运载火箭于四月完成二级动力系统试车，商业航天发射能力加快突破；中联重科推出双足人形机器人，艾博特研发五十公斤级负重机器狗，智能装备加速从实验室走向产业场景。三是落地重大产业项目补强产业链。元芯刻微高端显示及半导体关键材料基地投资五十亿元，于七月十七日开工，瞄准显示与半导体关键材料自主可控；国创检测基地投资十亿元，建设十八个专项实验室和四个公共技术平台，于七月二十四日签约，提升产业检测认证配套能力。四是推动传统产业技术跃升。欧科亿从硬质合金刀具切入PCB微钻新赛道，拓展电子制造关键耗材；省内企业围绕新材料、新能源持续攻关，以新技术改造提升传统产线。五是稳住外贸新动能。湖南“新三样”出口保持较快增势，依托工程机械、轨道交通等优势产业基础，推动高端装备与绿色低碳产品开拓国际市场。</w:t>
      </w:r>
    </w:p>
    <w:p>
      <w:pPr>
        <w:spacing w:after="400" w:before="100" w:line="560" w:lineRule="exact"/>
      </w:pPr>
      <w:r>
        <w:rPr>
          <w:rFonts w:ascii="FangSong_GB2312" w:cs="FangSong_GB2312" w:eastAsia="FangSong_GB2312" w:hAnsi="FangSong_GB2312"/>
          <w:sz w:val="32"/>
          <w:szCs w:val="32"/>
        </w:rPr>
        <w:t xml:space="preserve">（信息来源：湖南日报7月27日《湖南：新产业拔节 新技术赋能》  https://www.hunantoday.cn/news/xhn/202607/33284360.html）</w:t>
      </w:r>
    </w:p>
    <w:p>
      <w:pPr>
        <w:spacing w:after="200" w:before="400" w:line="560" w:lineRule="exact"/>
      </w:pPr>
      <w:r>
        <w:rPr>
          <w:rFonts w:ascii="SimHei" w:cs="SimHei" w:eastAsia="SimHei" w:hAnsi="SimHei"/>
          <w:b/>
          <w:bCs/>
          <w:sz w:val="32"/>
          <w:szCs w:val="32"/>
        </w:rPr>
        <w:t xml:space="preserve">3. 多元场景带来消费新体验释放消费新活力 深圳暑期消费持续走热</w:t>
      </w:r>
    </w:p>
    <w:p>
      <w:pPr>
        <w:spacing w:line="560" w:lineRule="exact"/>
        <w:ind w:firstLine="640"/>
      </w:pPr>
      <w:r>
        <w:rPr>
          <w:rFonts w:ascii="FangSong_GB2312" w:cs="FangSong_GB2312" w:eastAsia="FangSong_GB2312" w:hAnsi="FangSong_GB2312"/>
          <w:sz w:val="32"/>
          <w:szCs w:val="32"/>
        </w:rPr>
        <w:t xml:space="preserve">深圳市以多元消费场景与政策补贴协同发力，释放暑期消费活力。一是打造沉浸式商圈消费新场景。全市重点商圈潮流打卡、科技产品体验、特色市集、滨海夜游、体育观赛等沉浸式场景持续升温，潮流休闲、萌宠经济、科技体验、亲子游乐等多元业态不断上新，满足市民游客差异化消费需求。二是推出特色主题消费活动。K11 ECOAST携手乐滑之梦落地室内真冰场，将极地冰雪休闲带到海滨之城；宝安BREWTOWN啤酒小镇举办国际啤酒嘉年华，设置精酿市集、足球主题体验、宝安优品展示、青年宝藏快闪、乐队Live、特色夜市六大功能区，打造一站式“吃购游娱赏”全场景夜间消费；龙岗星河COCO Park打造“热野逐夏”主题场景，融汇拉丁风情与多元异域文化，多业态联动营造高品质消费空间。三是加码发放消费券。宝安启动“畅享湾区·宝安之约”专项促消费活动，投放千万元级餐饮零售消费券；南山区千万级入境消费券二期活动启动，持续优化境外游客消费体验，进一步激发区域消费潜力。四是延续消费品以旧换新政策。消费品“以旧换新”活动火热进行中，叠加科技产品体验场景，带动智能终端、家电等科技消费持续走热。五是构建“活动＋补贴”联动机制。特色活动轮番登场与多重消费补贴同步跟进，以场景引流、以补贴促购，持续释放暑期消费潜力。</w:t>
      </w:r>
    </w:p>
    <w:p>
      <w:pPr>
        <w:spacing w:after="400" w:before="100" w:line="560" w:lineRule="exact"/>
      </w:pPr>
      <w:r>
        <w:rPr>
          <w:rFonts w:ascii="FangSong_GB2312" w:cs="FangSong_GB2312" w:eastAsia="FangSong_GB2312" w:hAnsi="FangSong_GB2312"/>
          <w:sz w:val="32"/>
          <w:szCs w:val="32"/>
        </w:rPr>
        <w:t xml:space="preserve">（信息来源：南方日报7月27日《多元场景带来消费新体验释放消费新活力 深圳暑期消费持续走热》  https://www.sznews.com/news/content/2026-07/27/content_32133450.htm）</w:t>
      </w:r>
    </w:p>
    <w:p>
      <w:pPr>
        <w:spacing w:after="200" w:before="400" w:line="560" w:lineRule="exact"/>
      </w:pPr>
      <w:r>
        <w:rPr>
          <w:rFonts w:ascii="SimHei" w:cs="SimHei" w:eastAsia="SimHei" w:hAnsi="SimHei"/>
          <w:b/>
          <w:bCs/>
          <w:sz w:val="32"/>
          <w:szCs w:val="32"/>
        </w:rPr>
        <w:t xml:space="preserve">4. 海南“十五五”将实现岛内居民日用消费品免税店各市县全覆盖</w:t>
      </w:r>
    </w:p>
    <w:p>
      <w:pPr>
        <w:spacing w:line="560" w:lineRule="exact"/>
        <w:ind w:firstLine="640"/>
      </w:pPr>
      <w:r>
        <w:rPr>
          <w:rFonts w:ascii="FangSong_GB2312" w:cs="FangSong_GB2312" w:eastAsia="FangSong_GB2312" w:hAnsi="FangSong_GB2312"/>
          <w:sz w:val="32"/>
          <w:szCs w:val="32"/>
        </w:rPr>
        <w:t xml:space="preserve">海南省印发《“十五五”服务业发展规划》，明确以制度型开放和免税消费为抓手，建设国际旅游消费中心。一是设定服务业量质齐升目标。规划提出服务业增加值年均增速保持在百分之六以上，到二〇三〇年服务业增加值占地区生产总值比重约达百分之六十一，推动服务业成为高质量发展的主动能。二是实现岛内居民日用消费品免税店各市县全覆盖。在离岛免税基础上，加快布局面向岛内居民的日用消费品免税店，推动免税消费网络下沉至所有市县，让本地居民就近享受自贸港政策红利。三是构建多层级免税供给体系。统筹“离岛免税＋岛内居民日消品免税＋跨境电商”三种供给方式，形成覆盖旅客与居民、兼顾线下与线上的多层级消费供给格局，丰富免税消费选择。四是稳步扩大服务业制度型开放。着力破除数字经济、跨境金融、航运服务、离岸贸易等领域的体制机制障碍，对接国际高标准经贸规则，提升服务业开放能级。五是用足自贸港税收优惠政策。依托“零关税、低税率、简税制”制度安排，放大税收竞争优势，吸引消费、贸易、服务等要素集聚，把政策红利转化为消费与产业增量。</w:t>
      </w:r>
    </w:p>
    <w:p>
      <w:pPr>
        <w:spacing w:after="400" w:before="100" w:line="560" w:lineRule="exact"/>
      </w:pPr>
      <w:r>
        <w:rPr>
          <w:rFonts w:ascii="FangSong_GB2312" w:cs="FangSong_GB2312" w:eastAsia="FangSong_GB2312" w:hAnsi="FangSong_GB2312"/>
          <w:sz w:val="32"/>
          <w:szCs w:val="32"/>
        </w:rPr>
        <w:t xml:space="preserve">（信息来源：海南日报7月27日《海南“十五五”将实现岛内居民日用消费品免税店各市县全覆盖》  https://so.html5.qq.com/page/real/search_news?docid=70000021_6656a6191ed05952）</w:t>
      </w:r>
    </w:p>
    <w:p>
      <w:pPr>
        <w:spacing w:after="200" w:before="400" w:line="560" w:lineRule="exact"/>
      </w:pPr>
      <w:r>
        <w:rPr>
          <w:rFonts w:ascii="SimHei" w:cs="SimHei" w:eastAsia="SimHei" w:hAnsi="SimHei"/>
          <w:b/>
          <w:bCs/>
          <w:sz w:val="32"/>
          <w:szCs w:val="32"/>
        </w:rPr>
        <w:t xml:space="preserve">5. 海南出台“十五五”开放型经济发展规划 推动缩减自贸港跨境服务贸易负面清单</w:t>
      </w:r>
    </w:p>
    <w:p>
      <w:pPr>
        <w:spacing w:line="560" w:lineRule="exact"/>
        <w:ind w:firstLine="640"/>
      </w:pPr>
      <w:r>
        <w:rPr>
          <w:rFonts w:ascii="FangSong_GB2312" w:cs="FangSong_GB2312" w:eastAsia="FangSong_GB2312" w:hAnsi="FangSong_GB2312"/>
          <w:sz w:val="32"/>
          <w:szCs w:val="32"/>
        </w:rPr>
        <w:t xml:space="preserve">海南省出台“十五五”开放型经济发展规划，以自贸港政策制度体系为支撑，推动高水平对外开放。一是构建“五自由便利、一安全有序流动”制度框架。围绕贸易、投资、跨境资金、人员进出、运输来往自由便利和数据安全有序流动，系统搭建自贸港政策制度体系，夯实开放型经济底座。二是推动缩减跨境服务贸易负面清单。主动压缩跨境服务贸易准入限制，扩大外商投资准入范围，以“非禁即入”提升服务业开放水平，吸引国际高端服务要素集聚。三是优化人员与资金流动便利。优化免签来琼政策，便利外籍人士来琼商贸旅游；优化EF账户（多功能自由贸易账户）功能，提升跨境资金结算效率，增强自贸港金融开放能级。四是布局数字贸易新赛道。在澄迈老城科技新城、海口复兴城等重点园区集聚数字贸易企业，鼓励“一人公司”等轻量化创业形态，建设“数字游民理想社区”，打造数字贸易与跨境服务新高地。五是促进产业集群化国际化。推动旅游业、现代服务业、高新技术产业、热带特色高效农业四大主导产业集群化、国际化发展，打造“五向图强”产业链，培育“四新”未来产业，形成开放型经济新支柱。</w:t>
      </w:r>
    </w:p>
    <w:p>
      <w:pPr>
        <w:spacing w:after="400" w:before="100" w:line="560" w:lineRule="exact"/>
      </w:pPr>
      <w:r>
        <w:rPr>
          <w:rFonts w:ascii="FangSong_GB2312" w:cs="FangSong_GB2312" w:eastAsia="FangSong_GB2312" w:hAnsi="FangSong_GB2312"/>
          <w:sz w:val="32"/>
          <w:szCs w:val="32"/>
        </w:rPr>
        <w:t xml:space="preserve">（信息来源：海南日报7月27日《海南出台“十五五”开放型经济发展规划 推动缩减自贸港跨境服务贸易负面清单》  https://hi.people.com.cn/n2/2026/0727/c231190-41650559.html）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2026-07-27T00:17:06.413Z</dcterms:created>
  <dcterms:modified xsi:type="dcterms:W3CDTF">2026-07-27T00:17:06.414Z</dcterms:modified>
</cp:coreProperties>
</file>

<file path=docProps/custom.xml><?xml version="1.0" encoding="utf-8"?>
<Properties xmlns="http://schemas.openxmlformats.org/officeDocument/2006/custom-properties" xmlns:vt="http://schemas.openxmlformats.org/officeDocument/2006/docPropsVTypes"/>
</file>