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jc w:val="center"/>
      </w:pPr>
      <w:r>
        <w:rPr>
          <w:rFonts w:ascii="黑体" w:cs="黑体" w:eastAsia="黑体" w:hAnsi="黑体"/>
          <w:b/>
          <w:bCs/>
          <w:sz w:val="32"/>
          <w:szCs w:val="32"/>
        </w:rPr>
        <w:t xml:space="preserve">媒体信息摘报</w:t>
      </w:r>
    </w:p>
    <w:p>
      <w:pPr>
        <w:spacing w:after="360" w:before="0" w:line="480" w:lineRule="exact"/>
        <w:jc w:val="center"/>
      </w:pPr>
      <w:r>
        <w:rPr>
          <w:rFonts w:ascii="仿宋_GB2312" w:cs="仿宋_GB2312" w:eastAsia="仿宋_GB2312" w:hAnsi="仿宋_GB2312"/>
          <w:sz w:val="32"/>
          <w:szCs w:val="32"/>
        </w:rPr>
        <w:t xml:space="preserve">2026年6月25日（第5期）  省级党报经济·科技·消费创新举措精选（福建省可借鉴）</w:t>
      </w:r>
    </w:p>
    <w:p>
      <w:pPr>
        <w:spacing w:after="120" w:before="200" w:line="360"/>
      </w:pPr>
      <w:r>
        <w:rPr>
          <w:rFonts w:ascii="黑体" w:cs="黑体" w:eastAsia="黑体" w:hAnsi="黑体"/>
          <w:b/>
          <w:bCs/>
          <w:sz w:val="32"/>
          <w:szCs w:val="32"/>
        </w:rPr>
        <w:t xml:space="preserve">1. 佛山"AI监管员"上线，智慧监管"两难"变"两全"</w:t>
      </w:r>
    </w:p>
    <w:p>
      <w:pPr>
        <w:spacing w:after="0" w:before="0" w:line="560" w:lineRule="exact"/>
        <w:ind w:firstLine="480"/>
      </w:pPr>
      <w:r>
        <w:rPr>
          <w:rFonts w:ascii="仿宋_GB2312" w:cs="仿宋_GB2312" w:eastAsia="仿宋_GB2312" w:hAnsi="仿宋_GB2312"/>
          <w:sz w:val="32"/>
          <w:szCs w:val="32"/>
        </w:rPr>
        <w:t xml:space="preserve">近日，广东佛山以"AI监管员"赋能远程监管，上线一批覆盖市场监管多领域的智慧化监管工具，让企业办事时间从"三五天"压缩到"几小时"，监管效能与营商体验同步提升。
一是推行"扫码入企"闭环。佛山市场监管部门以"佛山市监"小程序为入口，执法人员入企前自动生成检查码，企业现场扫码核验资格、检查内容并电子签名确认后，监管任务方可启动，实现"无码不查、有码可溯"，平均减少三分之一检查时间。
二是建立"双随机+AI风险评级"机制。佛山搭建企业信用综合评级模型，引入存续期、股东认缴出资等六大风险因子，对全市经营主体实施AI风险评级，对低风险主体少抽查、对高风险主体重点查；同步推出"无事不扰"企业清单，清单内信用良好、合规经营企业原则上不再纳入计划内现场检查。
三是上线"云端核查"AI"监管员"。佛山探索数据比对、远程监管等8种非现场监管模式，在零售药店、餐饮许可等高频涉企许可领域，由AI远程核查取代人员现场核查，监管事项从"上门查"转向"云端查"；顺德区1633家药店试点执业药师AI打卡3个月以来，打卡参与率超过88%。
四是构建"综合查一次"融合监管体系。佛山把932个行政检查事项压减到140个，压减率84.98%，20个业务科室的入企检查事项打包整合为综合"查一次"，由"导师团"培养"通才"队伍替代"多头查"。
（信息来源：南方日报6月25日《广东上线了一批"AI监管员"，了解一下？》  https://static.nfnews.com/content/202606/25/c12560591.html）</w:t>
      </w:r>
    </w:p>
    <w:p>
      <w:pPr>
        <w:spacing w:after="120" w:before="200" w:line="360"/>
      </w:pPr>
      <w:r>
        <w:rPr>
          <w:rFonts w:ascii="黑体" w:cs="黑体" w:eastAsia="黑体" w:hAnsi="黑体"/>
          <w:b/>
          <w:bCs/>
          <w:sz w:val="32"/>
          <w:szCs w:val="32"/>
        </w:rPr>
        <w:t xml:space="preserve">2. 珠海：金融精准滴灌，激活科创动能</w:t>
      </w:r>
    </w:p>
    <w:p>
      <w:pPr>
        <w:spacing w:after="0" w:before="0" w:line="560" w:lineRule="exact"/>
        <w:ind w:firstLine="480"/>
      </w:pPr>
      <w:r>
        <w:rPr>
          <w:rFonts w:ascii="仿宋_GB2312" w:cs="仿宋_GB2312" w:eastAsia="仿宋_GB2312" w:hAnsi="仿宋_GB2312"/>
          <w:sz w:val="32"/>
          <w:szCs w:val="32"/>
        </w:rPr>
        <w:t xml:space="preserve">2026年一季度末，珠海18家科技支行或科技特色支行科技信贷余额超180亿元，专营机构网点已实现对全市科技创新重要功能区和产业园区全覆盖。一套适配科创企业全生命周期发展的现代化科技金融服务体系正加速成形。
一是搭建"政银保投"四方协同政策框架。珠海金融监管分局联动市委办（金融）、市科创局、市知识产权局、横琴金融发展局四部门，建立跨部门科技金融专题座谈机制，围绕"政银保"三方协同、"投保贷"多边信息共享、科技支行专营、科技保险发展等形成清晰工作路径。
二是启动"增首贷、扩首单"专项行动。2026年4月，珠海金融监管分局联合七部门印发《珠海市银行业保险业"增首贷、扩首单"科技金融服务能力提升专项行动方案》，围绕供需两端协同、建强科技支行、"首贷首单"服务、风险分担等四大维度，提出4项核心任务及10条具体举措。
三是推动科技支行梯度建设与"四化"升级。2025年11月，珠海金融监管分局印发《关于深化科技支行梯度建设更好支持新质生产力发展的通知》，指导"承诺制"科技支行在专营体制、特色化经营、差异化制度、多元化服务方面探索，2026年以来新设6家，形成"区域有重点、支行有特色"错位发展格局。
四是聚焦外向型科创企业完善避险配套。同步建立汇率避险风险补偿机制，设立500万元风险补偿基金，出台汇率避险奖励实施细则，按年度履约金额分段累进奖励，化解外向型科创企业汇率风险。
（信息来源：南方日报6月25日《珠海：金融精准滴灌，激活科创动能》  https://static.nfnews.com/content/202606/25/c12560622.html）</w:t>
      </w:r>
    </w:p>
    <w:p>
      <w:pPr>
        <w:spacing w:after="120" w:before="200" w:line="360"/>
      </w:pPr>
      <w:r>
        <w:rPr>
          <w:rFonts w:ascii="黑体" w:cs="黑体" w:eastAsia="黑体" w:hAnsi="黑体"/>
          <w:b/>
          <w:bCs/>
          <w:sz w:val="32"/>
          <w:szCs w:val="32"/>
        </w:rPr>
        <w:t xml:space="preserve">3. 粤港澳游艇自由行撬动消费新蓝海</w:t>
      </w:r>
    </w:p>
    <w:p>
      <w:pPr>
        <w:spacing w:after="0" w:before="0" w:line="560" w:lineRule="exact"/>
        <w:ind w:firstLine="480"/>
      </w:pPr>
      <w:r>
        <w:rPr>
          <w:rFonts w:ascii="仿宋_GB2312" w:cs="仿宋_GB2312" w:eastAsia="仿宋_GB2312" w:hAnsi="仿宋_GB2312"/>
          <w:sz w:val="32"/>
          <w:szCs w:val="32"/>
        </w:rPr>
        <w:t xml:space="preserve">近日，首批港澳游艇驶入大湾区内地口岸，粤港澳游艇自由行正式落地，从香港屯门到广州南沙、从澳门氹仔到珠海万山，一条条跨域航线次第铺展，撬动停泊、维修、补给、海钓、商务接待、文旅体验等全链条消费新蓝海。
一是做足"停泊基本盘"配套。广州南沙依托华南规模最大的国际化游艇会南沙游艇会，规划水上泊位352个、已建成142个，最大可停泊200英尺超级游艇；同步出台配套政策，宣布在全区规划不少于1000个游艇泊位，化解港澳游艇"一位难求"困境。
二是激活修造业服务消费。南沙依托三大造船基地之一的龙穴造船基地，集聚10余家游艇修造企业，多家持有港澳籍游艇维修资质，推出专属折扣抢抓港澳游艇客户；港澳游艇在内地停泊、维修等费用较港澳优惠近三分之一，澳门船主会、香港游艇业总商会等机构普遍推动船东"靠泊内地"。
三是推出一站式综合服务与产业政策。广州南沙发布新政鼓励企业对接境内外维保需求，规划建设游艇修造专业化园区，建立集停泊、维保、跨境通关代办于一体的一站式综合服务中心；珠海出台《珠海市推动游艇产业高质量发展行动方案（2025—2027年）》，成立港澳游艇入境维修专班，打造大湾区游艇维修保养基地。
四是做活"游艇+"大众消费与岸上消费。南沙推出"南沙游艇12条"，对游艇租赁、赛事举办、培训服务等业态给予支持，举办游艇嘉年华，发布面向船东的"鲲鹏卡"串联岸上吃住行游购娱；港澳公司逐步将游艇作为商务接待与团建活动常规选择，深中通道与大湾区流量加速转化为消费增量。
（信息来源：南方日报6月25日《粤港澳游艇自由行撬动消费新蓝海》  https://epaper.nfnews.com/nfdaily/html/202606/25/content_10173907.html）</w:t>
      </w:r>
    </w:p>
    <w:p>
      <w:pPr>
        <w:spacing w:after="120" w:before="200" w:line="360"/>
      </w:pPr>
      <w:r>
        <w:rPr>
          <w:rFonts w:ascii="黑体" w:cs="黑体" w:eastAsia="黑体" w:hAnsi="黑体"/>
          <w:b/>
          <w:bCs/>
          <w:sz w:val="32"/>
          <w:szCs w:val="32"/>
        </w:rPr>
        <w:t xml:space="preserve">4. 让"寸土"生"寸金"——四川发布一批开发区土地节约集约利用典型案例</w:t>
      </w:r>
    </w:p>
    <w:p>
      <w:pPr>
        <w:spacing w:after="0" w:before="0" w:line="560" w:lineRule="exact"/>
        <w:ind w:firstLine="480"/>
      </w:pPr>
      <w:r>
        <w:rPr>
          <w:rFonts w:ascii="仿宋_GB2312" w:cs="仿宋_GB2312" w:eastAsia="仿宋_GB2312" w:hAnsi="仿宋_GB2312"/>
          <w:sz w:val="32"/>
          <w:szCs w:val="32"/>
        </w:rPr>
        <w:t xml:space="preserve">今年6月25日是第36个全国土地日。四川"十四五"期间开发区工业用地平均容积率、亩均固投、亩均税收分别增长7%、52%、32%，四川首次发布一批开发区土地节约集约利用典型案例，向存量要空间、向集约要效益。
一是"拆分重构"盘活闲置工业用地。成都高新西区对长期闲置的134亩工业用地"一分为二"：振芯科技保留84亩打造创芯智能产业园，发展集成电路和北斗导航产业；剩余50亩由高新区收储建设微波射频产业园，统一规划、设计与基础设施配套，推动亩均固投强度提升76%、超过1300万元/亩，容积率提升至2.0。
二是"腾笼换鸟"重塑产业生态。巴中经开区以职工债权人诉求为突破口，推动原万马汽车产业园依法破产清算，区属国企以4000万元摘牌实现房地一体；创新"鱼鳞图+供应链"穿透式服务模式，"一企一策"绘制全息"诊断图"，目前产业园累计引进产业项目21个、协议投资超72亿元，已有11个项目建成投产。
三是"乾坤大挪移"实现存量空间置换闭环。宜宾江安经开区促成烨达管业租赁星维生物58.35亩闲置厂区，原化工园区厂房同步租赁给新材料公司补足锂电关键辅材空白；烨达管业亩均产值由78万元/亩提升至236万元/亩，预计2026年达到500万元/亩，星维生物原闲置厂房亩均产值由零提升至123万元/亩。
四是"标准地+交地即交证+拿地即开工"改革赋能。成都高新区创新"管家团"协同服务机制，前置咨询与预审环节，同步推进规划审批、土地出让、施工许可，平均准入亩均固投与营业收入税收较改革前大幅提高，20个新开工重大项目平均容积率升至2.0以上。
（信息来源：四川日报6月25日《让"寸土"生"寸金"》  https://epaper.scdaily.cn/shtml/scrb/20260625/1082589.html）</w:t>
      </w:r>
    </w:p>
    <w:p>
      <w:pPr>
        <w:spacing w:after="120" w:before="200" w:line="360"/>
      </w:pPr>
      <w:r>
        <w:rPr>
          <w:rFonts w:ascii="黑体" w:cs="黑体" w:eastAsia="黑体" w:hAnsi="黑体"/>
          <w:b/>
          <w:bCs/>
          <w:sz w:val="32"/>
          <w:szCs w:val="32"/>
        </w:rPr>
        <w:t xml:space="preserve">5. 遂宁推行工程建设项目"一码关联"</w:t>
      </w:r>
    </w:p>
    <w:p>
      <w:pPr>
        <w:spacing w:after="0" w:before="0" w:line="560" w:lineRule="exact"/>
        <w:ind w:firstLine="480"/>
      </w:pPr>
      <w:r>
        <w:rPr>
          <w:rFonts w:ascii="仿宋_GB2312" w:cs="仿宋_GB2312" w:eastAsia="仿宋_GB2312" w:hAnsi="仿宋_GB2312"/>
          <w:sz w:val="32"/>
          <w:szCs w:val="32"/>
        </w:rPr>
        <w:t xml:space="preserve">近日，遂宁市印发《遂宁市本级工程建设项目全流程不动产单元代码"一码关联"实施办法（试行）》，以不动产单元代码为核心，贯通工程建设项目全生命周期的"一码管地、一码通办、一码追溯"改革正式启动。
一是"一码贯穿"全流程8个关键环节。新办法覆盖详细规划编制、用地预审与规划选址、农用地转用审批、不动产登记等8个工程建设项目关键环节，以不动产单元代码串联规划、审批、建设交易、登记、监管全链条数据，实现"源头赋码、一码贯穿"。
二是"三个不""三个要"理念落地。明确"不改变现有各科室工作流程、不增加业务科室负担、不增加企业负担"和"要打通内部资料共享渠道、要实现地籍调查成果全流程共享、要以现有系统为载体实现高效协同"原则，依托现有系统承载改革，避免重复建设。
三是破解"重复调查、数据碎片化"痛点。新规落地后，地籍调查成果在各环节重复利用，从根源上杜绝重复调查、数据碎片化等问题；不动产单元代码深度嵌入审批、监管、登记全过程，有力支撑"交地即交证""交房即交证""竣工即交证"等举措。
四是联动"用地用林用草"审批改革。四川今年初正式启用全省用地用林用草联动审批系统，聚焦多个审批事项，通过流程再造和数据高效交互，实现"一个入口受理、一套流程协同、一个出口反馈"；甘孜州稻城县2026年第一批次、第四批次建设用地通过全省首批联动审批系统试点件办理，为全省联动审批提供示范案例。
（信息来源：四川日报6月25日《遂宁推行工程建设项目"一码关联"》  https://epaper.scdaily.cn/shtml/scrb/20260625/1082592.html）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仿宋_GB2312" w:cs="仿宋_GB2312" w:eastAsia="仿宋_GB2312" w:hAnsi="仿宋_GB2312"/>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2026-06-25T00:06:55.586Z</dcterms:created>
  <dcterms:modified xsi:type="dcterms:W3CDTF">2026-06-25T00:06:55.587Z</dcterms:modified>
</cp:coreProperties>
</file>

<file path=docProps/custom.xml><?xml version="1.0" encoding="utf-8"?>
<Properties xmlns="http://schemas.openxmlformats.org/officeDocument/2006/custom-properties" xmlns:vt="http://schemas.openxmlformats.org/officeDocument/2006/docPropsVTypes"/>
</file>