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jc w:val="center"/>
      </w:pPr>
      <w:r>
        <w:rPr>
          <w:rFonts w:ascii="黑体" w:hAnsi="黑体" w:eastAsia="黑体"/>
          <w:b/>
          <w:sz w:val="32"/>
        </w:rPr>
        <w:t>2026年9月1日 媒体信息摘报</w:t>
      </w:r>
    </w:p>
    <w:p>
      <w:pPr>
        <w:spacing w:lineRule="exact" w:line="560" w:before="120" w:after="40"/>
      </w:pPr>
      <w:r>
        <w:rPr>
          <w:rFonts w:ascii="黑体" w:hAnsi="黑体" w:eastAsia="黑体"/>
          <w:b/>
          <w:sz w:val="32"/>
        </w:rPr>
        <w:t>1. 北京划定11个自贸试验区联动发展区</w:t>
      </w:r>
    </w:p>
    <w:p>
      <w:pPr>
        <w:spacing w:lineRule="exact" w:line="560" w:before="0" w:after="0"/>
        <w:ind w:firstLine="640"/>
      </w:pPr>
      <w:r>
        <w:rPr>
          <w:rFonts w:ascii="仿宋_GB2312" w:hAnsi="仿宋_GB2312" w:eastAsia="仿宋_GB2312"/>
          <w:b w:val="0"/>
          <w:sz w:val="32"/>
        </w:rPr>
        <w:t>北京市政府新闻办8月31日举行发布会，公布设立北京自贸试验区联动发展区，印发《中国（北京）自由贸易试验区联动发展区建设工作方案》。一是首创“产业+区域”双轮联动体系。精选医药健康、人工智能、集成电路、商业航天四大产业为联动核心，确定海淀、昌平、朝阳、顺义、通州、大兴、亦庄7个自贸组团所在区及丰台、石景山、门头沟、怀柔4区共11个区域，总面积119.20平方公里。二是绘制四条产业协同路线图。医药健康构建“昌平研发中试—亦庄大兴门头沟智造—通州医产协同—怀柔赋能—顺义贸易流通”体系；人工智能构建“海淀策源—石景山人形机器人训练—顺义智能驾驶—亦庄朝阳丰台门头沟应用—门头沟算力”体系；集成电路构建“海淀设计—亦庄顺义制造—朝阳光电—怀柔测试”体系；商业航天构建“海淀星座研发—丰台卫星应用—亦庄火箭—石景山深空探测”体系。三是建立五大协同机制。明确强化制度联动、推动政策互通、促进平台共享、抓好落地实施、深化宣传交流，支持联动发展区与自贸试验区同步开展探索试验和压力测试，承接市级管理权限下放，实现“政策共享、平台共建、成果共用”。</w:t>
      </w:r>
    </w:p>
    <w:p>
      <w:pPr>
        <w:spacing w:lineRule="exact" w:line="560" w:before="0" w:after="0"/>
        <w:ind w:firstLine="640"/>
      </w:pPr>
      <w:r>
        <w:rPr>
          <w:rFonts w:ascii="仿宋_GB2312" w:hAnsi="仿宋_GB2312" w:eastAsia="仿宋_GB2312"/>
          <w:b w:val="0"/>
          <w:sz w:val="32"/>
        </w:rPr>
        <w:t>（信息来源：北京日报9月1日《北京划定11个自贸试验区联动发展区》 https://epaper.bjnews.com.cn/html/2026/20260901/20260901_A04/20260901_A04_01_3052_2094446169596891137.html）</w:t>
      </w:r>
    </w:p>
    <w:p>
      <w:pPr>
        <w:spacing w:lineRule="exact" w:line="560"/>
      </w:pPr>
    </w:p>
    <w:p>
      <w:pPr>
        <w:spacing w:lineRule="exact" w:line="560" w:before="120" w:after="40"/>
      </w:pPr>
      <w:r>
        <w:rPr>
          <w:rFonts w:ascii="黑体" w:hAnsi="黑体" w:eastAsia="黑体"/>
          <w:b/>
          <w:sz w:val="32"/>
        </w:rPr>
        <w:t>2. 西部集成电路与工业软件创新港竣工投用</w:t>
      </w:r>
    </w:p>
    <w:p>
      <w:pPr>
        <w:spacing w:lineRule="exact" w:line="560" w:before="0" w:after="0"/>
        <w:ind w:firstLine="640"/>
      </w:pPr>
      <w:r>
        <w:rPr>
          <w:rFonts w:ascii="仿宋_GB2312" w:hAnsi="仿宋_GB2312" w:eastAsia="仿宋_GB2312"/>
          <w:b w:val="0"/>
          <w:sz w:val="32"/>
        </w:rPr>
        <w:t>永川区重大产教融合标杆项目——西部集成电路与工业软件创新港暨重庆智能工程职业学院产教融合示范基地近日全面竣工启用。一是明确投资规模与空间布局。项目总投资10亿元，占地213亩，建筑面积15万平方米，由永川区人民政府、华为技术有限公司、西凯教育科技集团三方共建、重庆智能工程职业学院独家运营。二是布局两大中试基地与四大产业工程中心。聚焦集成电路中试基地、工业软件中试基地两大核心平台，布局4个产业工程中心、20个专业研发实验室，覆盖芯片设计、制造、封测全链条及CAD、CAE、EDA工业软件等关键赛道。三是强化产业人才供给与成果转化。引入10条先进集成电路封测生产线、设置1000个专业化软件开发工位、配置2000台套高端实训设备，预计每年培育5000名高素质技术技能人才；年均可完成30余项产业技术攻关、转化15项以上科创成果。四是集聚龙头生态。龙芯中科、苏州华兴源创、TCL格创东智、上海摩尔精英集成电路等7家行业龙头企业已签约入驻，为永川壮大千亿级智能产业集群、完善产业配套生态提供关键平台。五是服务全市战略。项目紧扣重庆“416”科技创新布局与“33618”现代制造业集群体系，补齐高端技术技能人才短板，为全市高等教育突破跃升与制造业高质量发展赋能增效，打造西部职教高地与区域科技创新策源地。</w:t>
      </w:r>
    </w:p>
    <w:p>
      <w:pPr>
        <w:spacing w:lineRule="exact" w:line="560" w:before="0" w:after="0"/>
        <w:ind w:firstLine="640"/>
      </w:pPr>
      <w:r>
        <w:rPr>
          <w:rFonts w:ascii="仿宋_GB2312" w:hAnsi="仿宋_GB2312" w:eastAsia="仿宋_GB2312"/>
          <w:b w:val="0"/>
          <w:sz w:val="32"/>
        </w:rPr>
        <w:t>（信息来源：重庆日报9月1日《西部集成电路与工业软件创新港竣工投用》 https://www.toutiao.com/article/7680343571978863104/）</w:t>
      </w:r>
    </w:p>
    <w:p>
      <w:pPr>
        <w:spacing w:lineRule="exact" w:line="560"/>
      </w:pPr>
    </w:p>
    <w:p>
      <w:pPr>
        <w:spacing w:lineRule="exact" w:line="560" w:before="120" w:after="40"/>
      </w:pPr>
      <w:r>
        <w:rPr>
          <w:rFonts w:ascii="黑体" w:hAnsi="黑体" w:eastAsia="黑体"/>
          <w:b/>
          <w:sz w:val="32"/>
        </w:rPr>
        <w:t>3. 宁夏28条财政政策赋能贺兰山东麓葡萄酒产业高质量发展</w:t>
      </w:r>
    </w:p>
    <w:p>
      <w:pPr>
        <w:spacing w:lineRule="exact" w:line="560" w:before="0" w:after="0"/>
        <w:ind w:firstLine="640"/>
      </w:pPr>
      <w:r>
        <w:rPr>
          <w:rFonts w:ascii="仿宋_GB2312" w:hAnsi="仿宋_GB2312" w:eastAsia="仿宋_GB2312"/>
          <w:b w:val="0"/>
          <w:sz w:val="32"/>
        </w:rPr>
        <w:t>宁夏财政厅、宁夏贺兰山东麓葡萄酒产业园区管委会联合印发《关于支持宁夏贺兰山东麓葡萄酒产业高质量发展的财政政策措施》，自2026年9月1日起施行，有效期至2030年12月31日。一是设置六大支持领域与组织保障共28条举措。覆盖基地建设、品牌营销、科技创新、市场服务、对外交流、多元投入及组织保障全维度，从单纯“给资金”转向“给资金+建机制+优环境”。二是实行差异化精准扶持。酿酒葡萄种植端区分稳产园、新建基地、低质低效园改造等六类实行差异化补助；品牌营销对企业参展、宣传按比例补助，创新推出直达消费者的葡萄酒消费券；科技创新对“五新”项目、科研课题给予资金扶持，酿酒专用设备给予购置补贴。三是强化联农带农与多元投入。将酿酒葡萄纳入农产品保费补贴范围，对酒庄经营贷款实行贴息，支持葡萄酒文化挖掘与酒旅业态培育，设置以奖代补资金，量化联农带农机制将产业增长与农民增收紧密绑定。四是对标国际规则体系。支持国际葡萄酒大会落地，对接OIV技术标准，引进国际人才与外文行业平台建设，提升产区全球话语权。五是强化组织实施与绩效管理。文件明确管委会与各市县权责分工，开展事前绩效评估与全过程预算绩效管理，严肃查处套取、挤占、挪用专项资金行为，确保财政资金使用安全高效、政策红利精准直达。</w:t>
      </w:r>
    </w:p>
    <w:p>
      <w:pPr>
        <w:spacing w:lineRule="exact" w:line="560" w:before="0" w:after="0"/>
        <w:ind w:firstLine="640"/>
      </w:pPr>
      <w:r>
        <w:rPr>
          <w:rFonts w:ascii="仿宋_GB2312" w:hAnsi="仿宋_GB2312" w:eastAsia="仿宋_GB2312"/>
          <w:b w:val="0"/>
          <w:sz w:val="32"/>
        </w:rPr>
        <w:t>（信息来源：宁夏日报9月1日《宁夏出台新财政政策赋能贺兰山东麓葡萄酒产业高质量发展》 http://ycwine.org.cn/cqxw/202608/t20260831_5099427.html）</w:t>
      </w:r>
    </w:p>
    <w:p>
      <w:pPr>
        <w:spacing w:lineRule="exact" w:line="560"/>
      </w:pPr>
    </w:p>
    <w:p>
      <w:pPr>
        <w:spacing w:lineRule="exact" w:line="560" w:before="120" w:after="40"/>
      </w:pPr>
      <w:r>
        <w:rPr>
          <w:rFonts w:ascii="黑体" w:hAnsi="黑体" w:eastAsia="黑体"/>
          <w:b/>
          <w:sz w:val="32"/>
        </w:rPr>
        <w:t>4. 《甘肃省知识产权促进和保护条例》9月1日起施行</w:t>
      </w:r>
    </w:p>
    <w:p>
      <w:pPr>
        <w:spacing w:lineRule="exact" w:line="560" w:before="0" w:after="0"/>
        <w:ind w:firstLine="640"/>
      </w:pPr>
      <w:r>
        <w:rPr>
          <w:rFonts w:ascii="仿宋_GB2312" w:hAnsi="仿宋_GB2312" w:eastAsia="仿宋_GB2312"/>
          <w:b w:val="0"/>
          <w:sz w:val="32"/>
        </w:rPr>
        <w:t>《甘肃省知识产权促进和保护条例》经省十四届人大常委会第二十四次会议通过，于2026年9月1日起施行，系甘肃知识产权领域首部综合性地方性法规。一是构建全链条制度框架。条例共5章53条，涵盖总则、促进、保护、服务与管理、附则，将专利申请前评估、开放许可、“先使用后付费”等机制入法，从源头提升专利产出质量、破解转化成本偏高难题。二是靶向破解产业转化难题。紧扣石化有色、新能源、新材料、航空航天、生物医药等优势产业，推动产业专利池、知识产权联盟入法落地，以知识产权强链补链固链，推动产业整体转型升级。三是创新协同保护体系。构建“行政监管、司法审判、技术支撑、社会监督”四位一体保护机制，通过技术调查官破解专业审理难题，以行刑衔接、惩罚性赔偿强化执法刚性，压实网络平台责任。四是完善公共服务与特色资源保护。健全专利导航、海关保护、维权援助等公共服务，加强黄河文化、丝路文化、老字号、传统技艺、中医药非遗等本土成果知识产权保护运用，助力文化传承与文旅升级。五是强化监督与落地保障。省市场监管局将联合相关部门做实宣传解读与业务培训、加快完善配套制度、强化全链条知识产权保护、持续提升公共服务质效，充分释放地方立法引领保障效能，构建知识产权大保护工作格局。</w:t>
      </w:r>
    </w:p>
    <w:p>
      <w:pPr>
        <w:spacing w:lineRule="exact" w:line="560" w:before="0" w:after="0"/>
        <w:ind w:firstLine="640"/>
      </w:pPr>
      <w:r>
        <w:rPr>
          <w:rFonts w:ascii="仿宋_GB2312" w:hAnsi="仿宋_GB2312" w:eastAsia="仿宋_GB2312"/>
          <w:b w:val="0"/>
          <w:sz w:val="32"/>
        </w:rPr>
        <w:t>（信息来源：甘肃日报9月1日《甘肃省知识产权促进和保护条例9月1日起施行》 https://szb.gansudaily.com.cn/gsfzb/pc/con/202608/28/c292254.html）</w:t>
      </w:r>
    </w:p>
    <w:p>
      <w:pPr>
        <w:spacing w:lineRule="exact" w:line="560"/>
      </w:pPr>
    </w:p>
    <w:p>
      <w:pPr>
        <w:spacing w:lineRule="exact" w:line="560" w:before="120" w:after="40"/>
      </w:pPr>
      <w:r>
        <w:rPr>
          <w:rFonts w:ascii="黑体" w:hAnsi="黑体" w:eastAsia="黑体"/>
          <w:b/>
          <w:sz w:val="32"/>
        </w:rPr>
        <w:t>5. 《成都市促进人工智能产业发展办法》9月1日起施行</w:t>
      </w:r>
    </w:p>
    <w:p>
      <w:pPr>
        <w:spacing w:lineRule="exact" w:line="560" w:before="0" w:after="0"/>
        <w:ind w:firstLine="640"/>
      </w:pPr>
      <w:r>
        <w:rPr>
          <w:rFonts w:ascii="仿宋_GB2312" w:hAnsi="仿宋_GB2312" w:eastAsia="仿宋_GB2312"/>
          <w:b w:val="0"/>
          <w:sz w:val="32"/>
        </w:rPr>
        <w:t>成都市出台《成都市促进人工智能产业发展办法》（市政府令第247号），于2026年9月1日起正式施行，系全国首个人工智能地方政府规章，也是成都第一部新兴产业领域立法。一是确立发展原则与治理体系。办法共6章36条，确立人工智能产业发展“以人为本、科技引领、应用驱动、安全可控”原则，依法设立人工智能科技伦理（审查）委员会，对新技术新业态实行包容审慎监管。二是强化科技创新策源。支持企业、高校、科研机构等创新主体开展核心技术攻关和成果转化，完善人工智能科技成果转化与产业化服务体系，激发本地技术供给与转化能力。三是建立全方位促进保障机制。围绕核心要素与基本要素供给、高质量产业生态打造、应用场景拓展，支持人工智能与制造业、农业生产、医疗健康、城市治理等领域融合发展，为产业建圈强链筑牢底座。四是加强安全能力建设。提出加强模型算法、数据资源、应用系统等安全能力建设，动态调整监管策略与产业政策，推动人工智能技术安全可控、造福人民。五是完善产业治理与动态调适。办法要求根据人工智能产业发展动态调整监管策略与产业政策，及时化解科技活动中的伦理风险，在包容审慎中统筹发展与安全，为培育新质生产力注入法治动能，并为全国AI产业合规发展提供可复制的地方样本。</w:t>
      </w:r>
    </w:p>
    <w:p>
      <w:pPr>
        <w:spacing w:lineRule="exact" w:line="560" w:before="0" w:after="0"/>
        <w:ind w:firstLine="640"/>
      </w:pPr>
      <w:r>
        <w:rPr>
          <w:rFonts w:ascii="仿宋_GB2312" w:hAnsi="仿宋_GB2312" w:eastAsia="仿宋_GB2312"/>
          <w:b w:val="0"/>
          <w:sz w:val="32"/>
        </w:rPr>
        <w:t>（信息来源：四川日报9月1日《成都出台全国首个人工智能地方政府规章》 https://epaper.scdaily.cn/shtml/scrb/20260810/1086453.html）</w:t>
      </w:r>
    </w:p>
    <w:p>
      <w:pPr>
        <w:spacing w:lineRule="exact" w:line="5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