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before="0" w:line="560" w:lineRule="exact"/>
        <w:jc w:val="center"/>
      </w:pPr>
      <w:r>
        <w:rPr>
          <w:rFonts w:ascii="黑体" w:hAnsi="黑体" w:eastAsia="黑体"/>
          <w:b/>
          <w:sz w:val="32"/>
        </w:rPr>
        <w:t>媒体信息摘报</w:t>
      </w:r>
    </w:p>
    <w:p>
      <w:pPr>
        <w:spacing w:line="560" w:lineRule="exact" w:after="0" w:before="0"/>
      </w:pPr>
      <w:r>
        <w:rPr>
          <w:rFonts w:ascii="仿宋_GB2312" w:hAnsi="仿宋_GB2312" w:eastAsia="仿宋_GB2312"/>
          <w:b/>
          <w:sz w:val="32"/>
        </w:rPr>
        <w:t>1. 四川出台二十条措施为政府投资基金「松绑减负」：全额容亏、放宽返投、延长存续期</w:t>
      </w:r>
    </w:p>
    <w:p>
      <w:pPr>
        <w:spacing w:line="560" w:lineRule="exact" w:after="0" w:before="0"/>
        <w:ind w:firstLine="420"/>
      </w:pPr>
      <w:r>
        <w:rPr>
          <w:rFonts w:ascii="仿宋_GB2312" w:hAnsi="仿宋_GB2312" w:eastAsia="仿宋_GB2312"/>
          <w:b w:val="0"/>
          <w:sz w:val="32"/>
        </w:rPr>
        <w:t>一是建立全额容亏机制。允许单个企业（项目）最高100%亏损，对容亏率以内、已充分尽职调查并依法合规履行决策程序的投资损失，经认定后免予追究相关单位及个人责任。二是放宽返投与注册地限制。注册在省内的创业投资类基金原则上不设置返投比例；省内单一主体出资比例不超过10%的创业投资类基金，一般不得提出基金注册地限定，支持管理机构灵活布局省外前沿科创项目。三是延长基金存续期限。引导基金做长期资本、耐心资本，基金存续期原则上最长不超过20年，其中产业投资类基金围绕「15+N」重点产业建圈强链，创业投资类基金着力投早、投小、投长期、投硬科技。四是实行分级审批管理。县级政府原则上不得新设基金，财力较好、具备产业基础的县（市、区）确需发起设立的须报市级政府审批，鼓励县级政府参股上级政府设立的基金。五是明确基金设立负面清单。未足额保障「三保」支出和应通过预算资金安排的债务还本付息等必要支出的不得设立基金；不得以招商引资为目的设立基金，不得在公益性领域、产能过剩领域设立基金，同一政府原则上不在同一行业或领域重复设立基金。六是组建全省基金联盟。鼓励省级与市县共设基金、共投项目、共选管理人、共建统一品牌、共推投后服务，避免重复投资与「内卷式」竞争。</w:t>
      </w:r>
    </w:p>
    <w:p>
      <w:pPr>
        <w:spacing w:line="560" w:lineRule="exact" w:after="280" w:before="0"/>
        <w:jc w:val="right"/>
      </w:pPr>
      <w:r>
        <w:rPr>
          <w:rFonts w:ascii="仿宋_GB2312" w:hAnsi="仿宋_GB2312" w:eastAsia="仿宋_GB2312"/>
          <w:b w:val="0"/>
          <w:sz w:val="32"/>
        </w:rPr>
        <w:t>（信息来源：四川日报 2026年8月18日｜https://www.cnr.cn/scfw/scpd/yw201/20260818/t20260818_527780530.shtml）</w:t>
      </w:r>
    </w:p>
    <w:p>
      <w:pPr>
        <w:spacing w:line="560" w:lineRule="exact" w:after="0" w:before="0"/>
      </w:pPr>
      <w:r>
        <w:rPr>
          <w:rFonts w:ascii="仿宋_GB2312" w:hAnsi="仿宋_GB2312" w:eastAsia="仿宋_GB2312"/>
          <w:b/>
          <w:sz w:val="32"/>
        </w:rPr>
        <w:t>2. 四川启动高校毕业生等青年「提技能、促就业」专项行动：首批306班次、预计培训1.2万余人</w:t>
      </w:r>
    </w:p>
    <w:p>
      <w:pPr>
        <w:spacing w:line="560" w:lineRule="exact" w:after="0" w:before="0"/>
        <w:ind w:firstLine="420"/>
      </w:pPr>
      <w:r>
        <w:rPr>
          <w:rFonts w:ascii="仿宋_GB2312" w:hAnsi="仿宋_GB2312" w:eastAsia="仿宋_GB2312"/>
          <w:b w:val="0"/>
          <w:sz w:val="32"/>
        </w:rPr>
        <w:t>一是集中攻坚三个月技能培训。于8月至10月抢抓离校求职关键期与技能提升黄金期，深入推进「提技能、促就业」专项行动，全力促进青年群体高质量充分就业。二是开设首批306个培训班次。预计培训1.2万余人，培训项目分为求职能力实训、技能体验、新领域专项三大类。三是求职能力实训补齐实战短板。设置职业定位、简历制作、面试应对、职场模拟、入企体验等模块，帮助青年补齐求职实战经验。四是技能体验「微课堂」发掘职业兴趣。推出短视频创作、AIGC应用、新媒体运营、无人机驾驶操作、家居收纳、陪诊师等轻量实用课程。五是新领域专项开设前沿课程。涵盖新能源汽车三电系统维护、互联网营销师、人工智能训练师、跨境电商运营管理师、生成式人工智能系统应用员等，其中AI办公工具实操、新媒体短视频制作、无人机驾驶操作等新兴领域课程占比超四成。六是「培训即对接、结业即推荐」。培训期间组织专场招聘会，引入优质市场化人力资源服务机构精准匹配岗位；鼓励参训学员参加职业技能等级认定，建立参训学员就业跟踪台账，对结业后6个月内未就业学员持续提供职业指导和岗位推荐。</w:t>
      </w:r>
    </w:p>
    <w:p>
      <w:pPr>
        <w:spacing w:line="560" w:lineRule="exact" w:after="280" w:before="0"/>
        <w:jc w:val="right"/>
      </w:pPr>
      <w:r>
        <w:rPr>
          <w:rFonts w:ascii="仿宋_GB2312" w:hAnsi="仿宋_GB2312" w:eastAsia="仿宋_GB2312"/>
          <w:b w:val="0"/>
          <w:sz w:val="32"/>
        </w:rPr>
        <w:t>（信息来源：封面新闻（华西都市报） 2026年8月18日｜https://new.qq.com/rain/a/20260818A0295A00）</w:t>
      </w:r>
    </w:p>
    <w:p>
      <w:pPr>
        <w:spacing w:line="560" w:lineRule="exact" w:after="0" w:before="0"/>
      </w:pPr>
      <w:r>
        <w:rPr>
          <w:rFonts w:ascii="仿宋_GB2312" w:hAnsi="仿宋_GB2312" w:eastAsia="仿宋_GB2312"/>
          <w:b/>
          <w:sz w:val="32"/>
        </w:rPr>
        <w:t>3. 广东以精准服务推动产业与人才双向奔赴：连续两年吸纳超百万高校毕业生来粤留粤</w:t>
      </w:r>
    </w:p>
    <w:p>
      <w:pPr>
        <w:spacing w:line="560" w:lineRule="exact" w:after="0" w:before="0"/>
        <w:ind w:firstLine="420"/>
      </w:pPr>
      <w:r>
        <w:rPr>
          <w:rFonts w:ascii="仿宋_GB2312" w:hAnsi="仿宋_GB2312" w:eastAsia="仿宋_GB2312"/>
          <w:b w:val="0"/>
          <w:sz w:val="32"/>
        </w:rPr>
        <w:t>一是搭建大型综合招聘会核心平台。今年3月春季招聘会紧扣全省高质量发展部署，设立先进制造、现代服务两大赛道，近2000家重点企业放出8.5万个岗位，汇聚境内外2000多所高校17万名学生参与，3.8万人现场达成初步意向。二是打造「小而精、专而优」主题对接会。聚焦生物医药、人工智能、半导体、新能源等战略性新兴产业，面向硕博人才精准补齐高端产业细分领域人才缺口，2023年至今已举办34期专场活动，服务企业2270家次，推出8.3万个高端岗位，对接4.6万人次硕博毕业生。三是校地联动与海外引才双向发力。今年7月首期「百校聚南粤」活动汇聚清华、复旦等55所重点高校及136家链主企业、专精特新企业、科研平台与国企；「湾有引力·粤聚英才」硕博研学活动已举办11期，吸引290余所高校5500多名学子走进湾区。四是数字化赋能精准匹配。依托AI智能服务小程序提供简历优化、智能岗配等数字化服务，搭配重点企业清单梳理、高校生源精准对接，打破传统招聘信息不对称。五是构建省市联动全域协同产才服务体系。省级统筹资源、顶层布局，地市立足产业特色下沉一线、摸排需求、落地服务，实现产业岗位与人才资源双向适配。</w:t>
      </w:r>
    </w:p>
    <w:p>
      <w:pPr>
        <w:spacing w:line="560" w:lineRule="exact" w:after="280" w:before="0"/>
        <w:jc w:val="right"/>
      </w:pPr>
      <w:r>
        <w:rPr>
          <w:rFonts w:ascii="仿宋_GB2312" w:hAnsi="仿宋_GB2312" w:eastAsia="仿宋_GB2312"/>
          <w:b w:val="0"/>
          <w:sz w:val="32"/>
        </w:rPr>
        <w:t>（信息来源：羊城晚报 2026年8月18日｜https://cj.sina.com.cn/article/norm_detail?url=https%3A%2F%2Ffinance.sina.com.cn%2Fjjxw%2F2026-08-18%2Fdoc-ininswna3438554.shtml&amp;finpagefr=w_110）</w:t>
      </w:r>
    </w:p>
    <w:p>
      <w:pPr>
        <w:spacing w:line="560" w:lineRule="exact" w:after="0" w:before="0"/>
      </w:pPr>
      <w:r>
        <w:rPr>
          <w:rFonts w:ascii="仿宋_GB2312" w:hAnsi="仿宋_GB2312" w:eastAsia="仿宋_GB2312"/>
          <w:b/>
          <w:sz w:val="32"/>
        </w:rPr>
        <w:t>4. 北京丰台在全市率先系统性布局中试平台集聚区：到2030年建成不低于50家</w:t>
      </w:r>
    </w:p>
    <w:p>
      <w:pPr>
        <w:spacing w:line="560" w:lineRule="exact" w:after="0" w:before="0"/>
        <w:ind w:firstLine="420"/>
      </w:pPr>
      <w:r>
        <w:rPr>
          <w:rFonts w:ascii="仿宋_GB2312" w:hAnsi="仿宋_GB2312" w:eastAsia="仿宋_GB2312"/>
          <w:b w:val="0"/>
          <w:sz w:val="32"/>
        </w:rPr>
        <w:t>一是发布专项建设行动方案。中关村科技园区丰台园管理委员会正式发布《丰台区建设中试平台集聚区行动方案》，把中试全流程转化为可开放、可共创、可生长的城市创新场景。二是明确「50·8·2」量化发展目标。到2030年建成不低于50家功能定位清晰、服务能力突出的中试平台和中试产线，其中新引进不低于20家；争创市级中试平台不低于8家、国家级中试平台不低于2家，基本建成现代化中试体系和综合性中试平台集聚区。三是强化「真金白银」资金支持。对符合条件的新建中试平台、产线、工厂项目最高给予2000万元资金支持；支持平台向全链条服务延伸最高给予1000万元支持；面向行业开放共享的平台每年最高给予200万元资金支持。四是构建「一核引领、多点布局、区域协同」空间格局。「一核引领」即在中关村丰台园东区一期集中建设中试平台集聚区；「多点布局」即在全区不少于20处可更新利用空间布局中试特色园；「区域协同」即京内承接海淀「0—1」创新成果、衔接亦庄大兴房山「10—100」规模生产，京外依托京津合作示范区和京雄人才科创走廊吸引津冀企业设立中试平台。五是完善「中试+」生态赋能。推出专属金融产品「中试平台贷」「领航贷」等，授信额度最高可达亿元；设立中试服务「先丰港」提供工商注册、项目备案、资金申报、法律财务等一站式服务；建设知识产权服务中心提供全链条服务。</w:t>
      </w:r>
    </w:p>
    <w:p>
      <w:pPr>
        <w:spacing w:line="560" w:lineRule="exact" w:after="280" w:before="0"/>
        <w:jc w:val="right"/>
      </w:pPr>
      <w:r>
        <w:rPr>
          <w:rFonts w:ascii="仿宋_GB2312" w:hAnsi="仿宋_GB2312" w:eastAsia="仿宋_GB2312"/>
          <w:b w:val="0"/>
          <w:sz w:val="32"/>
        </w:rPr>
        <w:t>（信息来源：千龙网 2026年8月18日｜https://cj.sina.com.cn/article/norm_detail?url=https%3A%2F%2Ffinance.sina.com.cn%2Fjjxw%2F2026-08-18%2Fdoc-ininssee3568207.shtml&amp;finpagefr=w_110）</w:t>
      </w:r>
    </w:p>
    <w:p>
      <w:pPr>
        <w:spacing w:line="560" w:lineRule="exact" w:after="0" w:before="0"/>
      </w:pPr>
      <w:r>
        <w:rPr>
          <w:rFonts w:ascii="仿宋_GB2312" w:hAnsi="仿宋_GB2312" w:eastAsia="仿宋_GB2312"/>
          <w:b/>
          <w:sz w:val="32"/>
        </w:rPr>
        <w:t>5. 北京拟对高价值专利最高给予800万元资金扶持：聚焦三类方向、突出质量导向</w:t>
      </w:r>
    </w:p>
    <w:p>
      <w:pPr>
        <w:spacing w:line="560" w:lineRule="exact" w:after="0" w:before="0"/>
        <w:ind w:firstLine="420"/>
      </w:pPr>
      <w:r>
        <w:rPr>
          <w:rFonts w:ascii="仿宋_GB2312" w:hAnsi="仿宋_GB2312" w:eastAsia="仿宋_GB2312"/>
          <w:b w:val="0"/>
          <w:sz w:val="32"/>
        </w:rPr>
        <w:t>一是制定专项扶持实施办法。北京市知识产权局研究制定《北京市高价值专利扶持资金实施办法（征求意见稿）》并公开征求意见，所称高价值专利指经国家知识产权局授权的战略性新兴产业专利或在海外有同族专利权的专利。二是扶持专精特新中小企业开展高价值专利布局。主要扶持聚焦战略性新兴产业、未来产业领域开展高价值专利布局工作，根据其国内知识产权创造、管理和运用水平等情况，给予最高不超过50万元的一次性资金扶持。三是扶持创新主体开展高价值专利组合布局。支持其在关键核心技术攻关中布局高价值专利组合，基于项目行业内领先程度、知识产权布局质量及高价值专利产出成果等综合评选，给予每项最高不超过50万元的一次性资金扶持。四是扶持海外高价值专利布局。为提升海外知识产权管理和保护能力，对创新主体开展海外专利布局给予支持，根据申报单位海外知识产权创造、管理和保护水平，结合申报期创新指数得分情况，给予最高不超过800万元的一次性资金扶持。五是坚持质量与绩效导向。突出质量导向，引导从「重数量」转向「重质量」，聚焦高价值专利；强化绩效导向，将扶持资金与专利产品备案、创新指数、产业化成效等绩效指标挂钩，提升财政资金使用效益。</w:t>
      </w:r>
    </w:p>
    <w:p>
      <w:pPr>
        <w:spacing w:line="560" w:lineRule="exact" w:after="280" w:before="0"/>
        <w:jc w:val="right"/>
      </w:pPr>
      <w:r>
        <w:rPr>
          <w:rFonts w:ascii="仿宋_GB2312" w:hAnsi="仿宋_GB2312" w:eastAsia="仿宋_GB2312"/>
          <w:b w:val="0"/>
          <w:sz w:val="32"/>
        </w:rPr>
        <w:t>（信息来源：北京青年报 2026年8月18日｜https://new.qq.com/rain/a/20260818A02A7K00?refer=cp_1009）</w:t>
      </w:r>
    </w:p>
    <w:sectPr w:rsidR="00FC693F" w:rsidRPr="0006063C" w:rsidSect="00034616">
      <w:pgSz w:w="12240" w:h="15840"/>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