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媒体信息摘报</w:t>
      </w:r>
    </w:p>
    <w:p>
      <w:pPr>
        <w:jc w:val="center"/>
      </w:pPr>
      <w:r>
        <w:rPr>
          <w:rFonts w:ascii="仿宋_GB2312" w:hAnsi="仿宋_GB2312" w:eastAsia="仿宋_GB2312"/>
          <w:sz w:val="32"/>
        </w:rPr>
        <w:t>2026年10月23日　省级党报经济·科技·消费创新举措精选（福建省可借鉴）</w:t>
      </w:r>
    </w:p>
    <w:p>
      <w:pPr>
        <w:spacing w:before="240" w:lineRule="exact" w:line="560"/>
      </w:pPr>
      <w:r>
        <w:rPr>
          <w:rFonts w:ascii="黑体" w:hAnsi="黑体" w:eastAsia="黑体"/>
          <w:b/>
          <w:sz w:val="32"/>
        </w:rPr>
        <w:t>1．黄岩：敢为天下先 改革启新程</w:t>
      </w:r>
    </w:p>
    <w:p>
      <w:pPr>
        <w:spacing w:lineRule="exact" w:line="560"/>
        <w:ind w:firstLine="640"/>
      </w:pPr>
      <w:r>
        <w:rPr>
          <w:rFonts w:ascii="仿宋_GB2312" w:hAnsi="仿宋_GB2312" w:eastAsia="仿宋_GB2312"/>
          <w:sz w:val="32"/>
        </w:rPr>
        <w:t>黄岩区以系统性思维推动算力要素系统集成，破解传统制造业向智能化、绿色化转型中“有场景无算力、有数据无算法、有需求无标准”的瓶颈，探索县域制造业数智赋能新路径。黄岩作为以模塑产业闻名的制造业强区，传统制造企业数量庞大、数智化转型需求迫切、应用场景丰富，改革举措具有鲜明的县域样本意义。</w:t>
      </w:r>
    </w:p>
    <w:p>
      <w:pPr>
        <w:spacing w:lineRule="exact" w:line="560"/>
        <w:ind w:firstLine="640"/>
      </w:pPr>
      <w:r>
        <w:rPr>
          <w:rFonts w:ascii="仿宋_GB2312" w:hAnsi="仿宋_GB2312" w:eastAsia="仿宋_GB2312"/>
          <w:sz w:val="32"/>
        </w:rPr>
        <w:t>一是建设普惠性算力底座。黄岩率先建设总规模2800P的浙东南智算中心，其中一期建成投用400P算力，提供普惠性基础算力服务，把算力变成像水电、网络一样可按需取用的公共资源。</w:t>
      </w:r>
    </w:p>
    <w:p>
      <w:pPr>
        <w:spacing w:lineRule="exact" w:line="560"/>
        <w:ind w:firstLine="640"/>
      </w:pPr>
      <w:r>
        <w:rPr>
          <w:rFonts w:ascii="仿宋_GB2312" w:hAnsi="仿宋_GB2312" w:eastAsia="仿宋_GB2312"/>
          <w:sz w:val="32"/>
        </w:rPr>
        <w:t>二是搭建产业服务平台与政策工具。黄岩着力推进智算OPC生态平台建设，建立“宁智汇”企业落地服务平台，推出算力券、模型券等支持政策，并设立首期规模2亿元的人工智能产业基金，鼓励传统制造企业拥抱新技术。</w:t>
      </w:r>
    </w:p>
    <w:p>
      <w:pPr>
        <w:spacing w:lineRule="exact" w:line="560"/>
        <w:ind w:firstLine="640"/>
      </w:pPr>
      <w:r>
        <w:rPr>
          <w:rFonts w:ascii="仿宋_GB2312" w:hAnsi="仿宋_GB2312" w:eastAsia="仿宋_GB2312"/>
          <w:sz w:val="32"/>
        </w:rPr>
        <w:t>三是共建新型研发机构。浙东南人工智能与大数据研究院正式落户黄岩，由黄岩区与合肥人工智能与大数据研究院联合共建，主要围绕制造业关键技术难题，开发下一代基于国产自主几何内核的高端工业设计软件及模塑行业垂类大模型，推动区域传统产业升级。</w:t>
      </w:r>
    </w:p>
    <w:p>
      <w:pPr>
        <w:spacing w:lineRule="exact" w:line="560"/>
        <w:ind w:firstLine="640"/>
      </w:pPr>
      <w:r>
        <w:rPr>
          <w:rFonts w:ascii="仿宋_GB2312" w:hAnsi="仿宋_GB2312" w:eastAsia="仿宋_GB2312"/>
          <w:sz w:val="32"/>
        </w:rPr>
        <w:t>四是落地AI+材料基因工程研发平台。黄岩建成国内首个以“AI+材料基因工程”技术为核心驱动的生物基新材料数智化研发平台，将材料特性转化为数据模型、借助算力在虚拟空间完成实验，使新材料研发周期缩短70%以上、整体成本降低40%至70%。</w:t>
      </w:r>
    </w:p>
    <w:p>
      <w:pPr>
        <w:spacing w:lineRule="exact" w:line="560"/>
      </w:pPr>
      <w:r>
        <w:rPr>
          <w:rFonts w:ascii="仿宋_GB2312" w:hAnsi="仿宋_GB2312" w:eastAsia="仿宋_GB2312"/>
          <w:sz w:val="32"/>
        </w:rPr>
        <w:t>（信息来源：浙江日报10月23日《黄岩：敢为天下先 改革启新程》  https://zjrb.zjol.com.cn/html/2026-10/23/content_3940876.htm）</w:t>
      </w:r>
    </w:p>
    <w:p>
      <w:pPr>
        <w:spacing w:before="240" w:lineRule="exact" w:line="560"/>
      </w:pPr>
      <w:r>
        <w:rPr>
          <w:rFonts w:ascii="黑体" w:hAnsi="黑体" w:eastAsia="黑体"/>
          <w:b/>
          <w:sz w:val="32"/>
        </w:rPr>
        <w:t>2．推动技能培训、人才成长和产业布局同向发力</w:t>
      </w:r>
    </w:p>
    <w:p>
      <w:pPr>
        <w:spacing w:lineRule="exact" w:line="560"/>
        <w:ind w:firstLine="640"/>
      </w:pPr>
      <w:r>
        <w:rPr>
          <w:rFonts w:ascii="仿宋_GB2312" w:hAnsi="仿宋_GB2312" w:eastAsia="仿宋_GB2312"/>
          <w:sz w:val="32"/>
        </w:rPr>
        <w:t>湖南省近日印发《湖南省就业促进和职业技能培训“十五五”规划》，以9个方面31项重点任务布局未来五年，推动技能培训、人才成长与产业布局同向发力，破解“招工难”与“就业难”并存的结构性矛盾。该规划立足湖南作为人口大省和产业大省的实际，把技能人才培养作为支撑产业升级、稳住就业基本盘的战略抓手，举措系统且具操作性。</w:t>
      </w:r>
    </w:p>
    <w:p>
      <w:pPr>
        <w:spacing w:lineRule="exact" w:line="560"/>
        <w:ind w:firstLine="640"/>
      </w:pPr>
      <w:r>
        <w:rPr>
          <w:rFonts w:ascii="仿宋_GB2312" w:hAnsi="仿宋_GB2312" w:eastAsia="仿宋_GB2312"/>
          <w:sz w:val="32"/>
        </w:rPr>
        <w:t>一是明确量化培训目标。规划提出五年累计培训500万人次，其中2026年全省职业技能培训总规模100万人次、补贴性职业技能培训不少于30万人次；到“十五五”末，高校毕业生留湘率达到60%左右，技能人才总量从624.94万人提升至770万人左右。</w:t>
      </w:r>
    </w:p>
    <w:p>
      <w:pPr>
        <w:spacing w:lineRule="exact" w:line="560"/>
        <w:ind w:firstLine="640"/>
      </w:pPr>
      <w:r>
        <w:rPr>
          <w:rFonts w:ascii="仿宋_GB2312" w:hAnsi="仿宋_GB2312" w:eastAsia="仿宋_GB2312"/>
          <w:sz w:val="32"/>
        </w:rPr>
        <w:t>二是实施“技兴三湘 一人一技”职业技能培训计划。规划把该计划摆在突出位置，着力补齐培训侧供给缺口，推动培训资源向产业急需领域倾斜。</w:t>
      </w:r>
    </w:p>
    <w:p>
      <w:pPr>
        <w:spacing w:lineRule="exact" w:line="560"/>
        <w:ind w:firstLine="640"/>
      </w:pPr>
      <w:r>
        <w:rPr>
          <w:rFonts w:ascii="仿宋_GB2312" w:hAnsi="仿宋_GB2312" w:eastAsia="仿宋_GB2312"/>
          <w:sz w:val="32"/>
        </w:rPr>
        <w:t>三是构建“产培评用”技能生态链。规划推出完善技能人才评价机制、全面推行工学一体化培养模式、动态调整专业设置、建设与主导产业相匹配的特色专业等制度性举措，以产业需求为牵引倒推培训内容和评价标准。</w:t>
      </w:r>
    </w:p>
    <w:p>
      <w:pPr>
        <w:spacing w:lineRule="exact" w:line="560"/>
        <w:ind w:firstLine="640"/>
      </w:pPr>
      <w:r>
        <w:rPr>
          <w:rFonts w:ascii="仿宋_GB2312" w:hAnsi="仿宋_GB2312" w:eastAsia="仿宋_GB2312"/>
          <w:sz w:val="32"/>
        </w:rPr>
        <w:t>四是重塑技能供给逻辑。规划明确产业布局延伸到哪里、技能供给就跟进到哪里，先摸清产线上缺什么人、新赛道上要储备什么能力，再倒推培训安排，从源头缩短人才供给与产业需求之间的时滞，推动就业从规模扩张转向质的有效提升和量的合理增长。</w:t>
      </w:r>
    </w:p>
    <w:p>
      <w:pPr>
        <w:spacing w:lineRule="exact" w:line="560"/>
      </w:pPr>
      <w:r>
        <w:rPr>
          <w:rFonts w:ascii="仿宋_GB2312" w:hAnsi="仿宋_GB2312" w:eastAsia="仿宋_GB2312"/>
          <w:sz w:val="32"/>
        </w:rPr>
        <w:t>（信息来源：湖南日报10月23日《推动技能培训、人才成长和产业布局同向发力》  http://mp.weixin.qq.com/s?__biz=MjM5MTE0OTQ2MQ==&amp;mid=2655555092&amp;idx=2&amp;sn=2316b61e7ad72f58faeef93d714f84db&amp;chksm=bc629b6445cdb6bd3038ff618dd845cae8009f9883c0205aa0ded7d20b0c4a941c53b79e6623#rd）</w:t>
      </w:r>
    </w:p>
    <w:p>
      <w:pPr>
        <w:spacing w:before="240" w:lineRule="exact" w:line="560"/>
      </w:pPr>
      <w:r>
        <w:rPr>
          <w:rFonts w:ascii="黑体" w:hAnsi="黑体" w:eastAsia="黑体"/>
          <w:b/>
          <w:sz w:val="32"/>
        </w:rPr>
        <w:t>3．昆山用场景之钥打开区域协同之门</w:t>
      </w:r>
    </w:p>
    <w:p>
      <w:pPr>
        <w:spacing w:lineRule="exact" w:line="560"/>
        <w:ind w:firstLine="640"/>
      </w:pPr>
      <w:r>
        <w:rPr>
          <w:rFonts w:ascii="仿宋_GB2312" w:hAnsi="仿宋_GB2312" w:eastAsia="仿宋_GB2312"/>
          <w:sz w:val="32"/>
        </w:rPr>
        <w:t>昆山市与云南省发展改革委联合申报的“咖啡全产业链创新集成应用场景”项目入选国家首批136项标志性重大应用场景，昆山借此探索以场景之钥打破行政边界、融入全国统一大市场的跨区域协同路径。</w:t>
      </w:r>
    </w:p>
    <w:p>
      <w:pPr>
        <w:spacing w:lineRule="exact" w:line="560"/>
        <w:ind w:firstLine="640"/>
      </w:pPr>
      <w:r>
        <w:rPr>
          <w:rFonts w:ascii="仿宋_GB2312" w:hAnsi="仿宋_GB2312" w:eastAsia="仿宋_GB2312"/>
          <w:sz w:val="32"/>
        </w:rPr>
        <w:t>一是构建“云南种植初加工+昆山精深加工贸易”跨区域协同格局。两地各握“半条链”——云南咖啡种植面积和产量均占全国98%以上但精深加工薄弱，昆山不产咖啡豆却拥有全国60%的咖啡生豆烘焙量和60%以上的生豆进口量；双方携手搭建场景，构建从种植、加工、贸易到消费、体验、品牌传播、人才培养的完整闭环。</w:t>
      </w:r>
    </w:p>
    <w:p>
      <w:pPr>
        <w:spacing w:lineRule="exact" w:line="560"/>
        <w:ind w:firstLine="640"/>
      </w:pPr>
      <w:r>
        <w:rPr>
          <w:rFonts w:ascii="仿宋_GB2312" w:hAnsi="仿宋_GB2312" w:eastAsia="仿宋_GB2312"/>
          <w:sz w:val="32"/>
        </w:rPr>
        <w:t>二是设立县域层面专职场景机构。昆山在县域层面率先设立市场景培育应用发展协调小组，配备14名专职人员、150人的工作网络，使命为“为产品找应用、为场景找技术”，打破行政壁垒与产业边界。</w:t>
      </w:r>
    </w:p>
    <w:p>
      <w:pPr>
        <w:spacing w:lineRule="exact" w:line="560"/>
        <w:ind w:firstLine="640"/>
      </w:pPr>
      <w:r>
        <w:rPr>
          <w:rFonts w:ascii="仿宋_GB2312" w:hAnsi="仿宋_GB2312" w:eastAsia="仿宋_GB2312"/>
          <w:sz w:val="32"/>
        </w:rPr>
        <w:t>三是上线数字化对接平台。“昆山场景之窗”平台将技术供给侧的“能力清单”与场景需求侧的“机会清单”在线匹配，企业可精准对接。</w:t>
      </w:r>
    </w:p>
    <w:p>
      <w:pPr>
        <w:spacing w:lineRule="exact" w:line="560"/>
        <w:ind w:firstLine="640"/>
      </w:pPr>
      <w:r>
        <w:rPr>
          <w:rFonts w:ascii="仿宋_GB2312" w:hAnsi="仿宋_GB2312" w:eastAsia="仿宋_GB2312"/>
          <w:sz w:val="32"/>
        </w:rPr>
        <w:t>四是深化跨区域场景对接与人才培养。场景办带企业赴山东荣成等地开展海洋经济场景对接会，并推动昆山与太仓举办“人工智能+制造”场景路演，将技术供给与各地场景需求精准匹配；同步建设昆山咖啡产业学院，围绕全产业链环节培养专业人才。</w:t>
      </w:r>
    </w:p>
    <w:p>
      <w:pPr>
        <w:spacing w:lineRule="exact" w:line="560"/>
      </w:pPr>
      <w:r>
        <w:rPr>
          <w:rFonts w:ascii="仿宋_GB2312" w:hAnsi="仿宋_GB2312" w:eastAsia="仿宋_GB2312"/>
          <w:sz w:val="32"/>
        </w:rPr>
        <w:t>（信息来源：新华日报10月23日《昆山用场景之钥打开区域协同之门》  https://xh.xhby.net/pad/con/202610/23/content_1599602.html）</w:t>
      </w:r>
    </w:p>
    <w:p>
      <w:pPr>
        <w:spacing w:before="240" w:lineRule="exact" w:line="560"/>
      </w:pPr>
      <w:r>
        <w:rPr>
          <w:rFonts w:ascii="黑体" w:hAnsi="黑体" w:eastAsia="黑体"/>
          <w:b/>
          <w:sz w:val="32"/>
        </w:rPr>
        <w:t>4．“观光风景”何以变成“产业场景”</w:t>
      </w:r>
    </w:p>
    <w:p>
      <w:pPr>
        <w:spacing w:lineRule="exact" w:line="560"/>
        <w:ind w:firstLine="640"/>
      </w:pPr>
      <w:r>
        <w:rPr>
          <w:rFonts w:ascii="仿宋_GB2312" w:hAnsi="仿宋_GB2312" w:eastAsia="仿宋_GB2312"/>
          <w:sz w:val="32"/>
        </w:rPr>
        <w:t>宜兴阳羡生态旅游度假区近日举办产业合作发展会，总投资近50亿元的优质项目集中落地，涵盖高端制造、绿色食品、数字经济、文旅新业态等多个赛道，打破传统景区以观光为主的单一发展定式，走出把“观光风景”转化为“产业场景”的发展新路。宜兴生态本底优越、产业基础厚实，素有“陶都”“环保之乡”之称，推动生态资源向产业价值转化的探索具有示范价值。</w:t>
      </w:r>
    </w:p>
    <w:p>
      <w:pPr>
        <w:spacing w:lineRule="exact" w:line="560"/>
        <w:ind w:firstLine="640"/>
      </w:pPr>
      <w:r>
        <w:rPr>
          <w:rFonts w:ascii="仿宋_GB2312" w:hAnsi="仿宋_GB2312" w:eastAsia="仿宋_GB2312"/>
          <w:sz w:val="32"/>
        </w:rPr>
        <w:t>一是拉长价值链条、重塑供需逻辑。传统观光经济是一次性消费，游客停留短、参与少；产业场景发展模式重在盘活全域空间资源，构建集创新试验、产业落地、品质生活、沉浸式消费于一体的完整生态，通过场景再造实现“引流、集聚、转化、增值”的闭环发展，推动生态资源从浅层观赏、短期消费走向深度开发、长期增值。</w:t>
      </w:r>
    </w:p>
    <w:p>
      <w:pPr>
        <w:spacing w:lineRule="exact" w:line="560"/>
        <w:ind w:firstLine="640"/>
      </w:pPr>
      <w:r>
        <w:rPr>
          <w:rFonts w:ascii="仿宋_GB2312" w:hAnsi="仿宋_GB2312" w:eastAsia="仿宋_GB2312"/>
          <w:sz w:val="32"/>
        </w:rPr>
        <w:t>二是推动政府角色从资源管理者转向场景供给者。培育产业场景需要政府主动转变角色，从资源管理者转变为场景供给者、生态搭建者、服务保障者，为经营主体开放更多应用空间、创新空间、试错空间，让各类新业态新模式扎根生长、迭代壮大。</w:t>
      </w:r>
    </w:p>
    <w:p>
      <w:pPr>
        <w:spacing w:lineRule="exact" w:line="560"/>
        <w:ind w:firstLine="640"/>
      </w:pPr>
      <w:r>
        <w:rPr>
          <w:rFonts w:ascii="仿宋_GB2312" w:hAnsi="仿宋_GB2312" w:eastAsia="仿宋_GB2312"/>
          <w:sz w:val="32"/>
        </w:rPr>
        <w:t>三是坚守生态底线、坚持绿色发展。场景开发不等于无序开发，产业落地不以透支生态为代价；坚持生态优先、因地制宜、精准布局，杜绝盲目商业化、同质化复制、粗放式开发，以优质生态承载绿色产业，以产业发展反哺生态治理，形成保护与发展互促共进的良性循环。</w:t>
      </w:r>
    </w:p>
    <w:p>
      <w:pPr>
        <w:spacing w:lineRule="exact" w:line="560"/>
      </w:pPr>
      <w:r>
        <w:rPr>
          <w:rFonts w:ascii="仿宋_GB2312" w:hAnsi="仿宋_GB2312" w:eastAsia="仿宋_GB2312"/>
          <w:sz w:val="32"/>
        </w:rPr>
        <w:t>（信息来源：新华日报10月23日《“观光风景”何以变成“产业场景”》  https://xh.xhby.net/pad/con/202610/23/content_1599632.html）</w:t>
      </w:r>
    </w:p>
    <w:p>
      <w:pPr>
        <w:spacing w:before="240" w:lineRule="exact" w:line="560"/>
      </w:pPr>
      <w:r>
        <w:rPr>
          <w:rFonts w:ascii="黑体" w:hAnsi="黑体" w:eastAsia="黑体"/>
          <w:b/>
          <w:sz w:val="32"/>
        </w:rPr>
        <w:t>5．让科研成果走向产业一线，湾区博创赛探索转化新路径</w:t>
      </w:r>
    </w:p>
    <w:p>
      <w:pPr>
        <w:spacing w:lineRule="exact" w:line="560"/>
        <w:ind w:firstLine="640"/>
      </w:pPr>
      <w:r>
        <w:rPr>
          <w:rFonts w:ascii="仿宋_GB2312" w:hAnsi="仿宋_GB2312" w:eastAsia="仿宋_GB2312"/>
          <w:sz w:val="32"/>
        </w:rPr>
        <w:t>第三届粤港澳大湾区博士博士后创新创业大赛决赛于10月23日至26日在东莞松山湖举行，赛事深化“揭榜领题”赛制，探索科研成果从实验室走向产业链的转化新路径。</w:t>
      </w:r>
    </w:p>
    <w:p>
      <w:pPr>
        <w:spacing w:lineRule="exact" w:line="560"/>
        <w:ind w:firstLine="640"/>
      </w:pPr>
      <w:r>
        <w:rPr>
          <w:rFonts w:ascii="仿宋_GB2312" w:hAnsi="仿宋_GB2312" w:eastAsia="仿宋_GB2312"/>
          <w:sz w:val="32"/>
        </w:rPr>
        <w:t>一是深化“揭榜领题”赛制。本届博创赛累计发布170个企业技术需求，吸引963个团队、1968名博士博士后参与揭榜，最终征集465个解决方案，让企业提出的问题进入科研团队攻关清单，推动技术研发围绕实际需求展开。</w:t>
      </w:r>
    </w:p>
    <w:p>
      <w:pPr>
        <w:spacing w:lineRule="exact" w:line="560"/>
        <w:ind w:firstLine="640"/>
      </w:pPr>
      <w:r>
        <w:rPr>
          <w:rFonts w:ascii="仿宋_GB2312" w:hAnsi="仿宋_GB2312" w:eastAsia="仿宋_GB2312"/>
          <w:sz w:val="32"/>
        </w:rPr>
        <w:t>二是启动“政产学研金”成果转化对接机制。大赛推动1013个赛事项目需求有效对接，联动近200家创投机构、逾120家行业龙头企业和超20个产业孵化载体，推进161个有融资、落地、产业化需求的项目进入下一步对接；通过产才对接会、投融资路演等活动，逾100个项目与投融资机构对接并进入尽职调查阶段。</w:t>
      </w:r>
    </w:p>
    <w:p>
      <w:pPr>
        <w:spacing w:lineRule="exact" w:line="560"/>
        <w:ind w:firstLine="640"/>
      </w:pPr>
      <w:r>
        <w:rPr>
          <w:rFonts w:ascii="仿宋_GB2312" w:hAnsi="仿宋_GB2312" w:eastAsia="仿宋_GB2312"/>
          <w:sz w:val="32"/>
        </w:rPr>
        <w:t>三是强化落地承接。松山湖产业专班已与403个赛事项目建立联系，挖掘意向项目137个、储备40名海外高层次人才，其中已有27个项目落地松山湖、另有17个项目表达落地意向。</w:t>
      </w:r>
    </w:p>
    <w:p>
      <w:pPr>
        <w:spacing w:lineRule="exact" w:line="560"/>
        <w:ind w:firstLine="640"/>
      </w:pPr>
      <w:r>
        <w:rPr>
          <w:rFonts w:ascii="仿宋_GB2312" w:hAnsi="仿宋_GB2312" w:eastAsia="仿宋_GB2312"/>
          <w:sz w:val="32"/>
        </w:rPr>
        <w:t>四是完善区域协同转化网络。赛事覆盖广东省内、省外及香港、澳门和海外，参赛项目累计超3800个、吸引近1.2万名高层次人才参与，推动科研团队跨城市寻找产业化条件、企业面向更大范围寻找技术与人才。</w:t>
      </w:r>
    </w:p>
    <w:p>
      <w:pPr>
        <w:spacing w:lineRule="exact" w:line="560"/>
      </w:pPr>
      <w:r>
        <w:rPr>
          <w:rFonts w:ascii="仿宋_GB2312" w:hAnsi="仿宋_GB2312" w:eastAsia="仿宋_GB2312"/>
          <w:sz w:val="32"/>
        </w:rPr>
        <w:t>（信息来源：南方日报10月23日《让科研成果走向产业一线，湾区博创赛探索转化新路径》  https://www.nfnews.com/content/1y0lxWR8yB.html）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