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after="120"/>
        <w:jc w:val="center"/>
      </w:pPr>
      <w:r>
        <w:rPr>
          <w:rFonts w:ascii="黑体" w:hAnsi="黑体" w:eastAsia="黑体"/>
          <w:b w:val="0"/>
          <w:sz w:val="32"/>
        </w:rPr>
        <w:t>媒体信息摘报</w:t>
      </w:r>
    </w:p>
    <w:p>
      <w:pPr>
        <w:spacing w:line="560" w:lineRule="exact" w:after="200"/>
        <w:jc w:val="center"/>
      </w:pPr>
      <w:r>
        <w:rPr>
          <w:rFonts w:ascii="仿宋_GB2312" w:hAnsi="仿宋_GB2312" w:eastAsia="仿宋_GB2312"/>
          <w:sz w:val="32"/>
        </w:rPr>
        <w:t>2026年9月2日</w:t>
      </w:r>
    </w:p>
    <w:p>
      <w:pPr>
        <w:spacing w:line="560" w:lineRule="exact" w:before="120"/>
        <w:ind w:firstLine="0"/>
      </w:pPr>
      <w:r>
        <w:rPr>
          <w:rFonts w:ascii="黑体" w:hAnsi="黑体" w:eastAsia="黑体"/>
          <w:b w:val="0"/>
          <w:sz w:val="32"/>
        </w:rPr>
        <w:t>1、北京：36项改革举措融入和服务全国统一大市场</w:t>
      </w:r>
    </w:p>
    <w:p>
      <w:pPr>
        <w:spacing w:line="560" w:lineRule="exact"/>
        <w:ind w:firstLine="601"/>
      </w:pPr>
      <w:r>
        <w:rPr>
          <w:rFonts w:ascii="仿宋_GB2312" w:hAnsi="仿宋_GB2312" w:eastAsia="仿宋_GB2312"/>
          <w:sz w:val="32"/>
        </w:rPr>
        <w:t>9月2日，《北京市融入和服务全国统一大市场2026年工作要点》对外发布，提出36项年度重点改革举措，聚焦破除要素流动堵点、打破地方保护和市场分割。主要措施：一是严格落实“全国一张清单”管理模式，持续破除市场准入壁垒，让“非禁即入”落地生根；二是加大人工智能、集成电路、生物医药等重点领域知识产权保护，发布知识产权质押登记操作指南；三是深化“综合查一次”机制，推动“进一次门、查多项事”，启动食品安全全链条数字化监管平台；四是实施统一的政府行为尺度，修订公平竞争审查会审办法，实行失信信息分类管理与“一次申请、同步修复”；五是制定职务科技成果资产单列管理办法，修订公共数据授权运营办法，形成一批标志性“北京规则”。</w:t>
      </w:r>
    </w:p>
    <w:p>
      <w:pPr>
        <w:spacing w:line="560" w:lineRule="exact"/>
        <w:ind w:firstLine="0"/>
      </w:pPr>
      <w:r>
        <w:rPr>
          <w:rFonts w:ascii="仿宋_GB2312" w:hAnsi="仿宋_GB2312" w:eastAsia="仿宋_GB2312"/>
          <w:sz w:val="21"/>
        </w:rPr>
        <w:t>来源：https://bjwb-app.bjd.com.cn/content/s69fc23d0e4b0687a28952935.html</w:t>
      </w:r>
    </w:p>
    <w:p>
      <w:pPr>
        <w:spacing w:line="560" w:lineRule="exact" w:before="120"/>
        <w:ind w:firstLine="0"/>
      </w:pPr>
      <w:r>
        <w:rPr>
          <w:rFonts w:ascii="黑体" w:hAnsi="黑体" w:eastAsia="黑体"/>
          <w:b w:val="0"/>
          <w:sz w:val="32"/>
        </w:rPr>
        <w:t>2、天津：9条措施打造“一人公司”创新创业生态</w:t>
      </w:r>
    </w:p>
    <w:p>
      <w:pPr>
        <w:spacing w:line="560" w:lineRule="exact"/>
        <w:ind w:firstLine="601"/>
      </w:pPr>
      <w:r>
        <w:rPr>
          <w:rFonts w:ascii="仿宋_GB2312" w:hAnsi="仿宋_GB2312" w:eastAsia="仿宋_GB2312"/>
          <w:sz w:val="32"/>
        </w:rPr>
        <w:t>9月2日消息，天津市人社局等16部门制定发布《关于加快打造“一人公司”创新创业生态的若干措施》，推出9条具体举措支持“一人公司”（OPC）主体快速成长。主要措施：一是打造高效便捷准入通道，提供登记、社保、创业补贴等“1+N”集成服务；二是构建全链条服务平台，建设市级创业公共服务平台及大模型生态服务平台，集成普惠算力与AI工具；三是拓展载体支持，安排场地并减免租金，发放“创业券”，设立OPC创业专区与“创客驿站”；四是开放政府及国企应用场景，强化订单导入撮合，引导京东、抖音、腾讯等平台发布需求订单；五是提供创业培训与特色信贷，给予个人最高30万元、企业最高400万元创业担保贷款和贴息。</w:t>
      </w:r>
    </w:p>
    <w:p>
      <w:pPr>
        <w:spacing w:line="560" w:lineRule="exact"/>
        <w:ind w:firstLine="0"/>
      </w:pPr>
      <w:r>
        <w:rPr>
          <w:rFonts w:ascii="仿宋_GB2312" w:hAnsi="仿宋_GB2312" w:eastAsia="仿宋_GB2312"/>
          <w:sz w:val="21"/>
        </w:rPr>
        <w:t>来源：http://news.big5.enorth.com.cn/system/2026/09/01/059717234.shtml</w:t>
      </w:r>
    </w:p>
    <w:p>
      <w:pPr>
        <w:spacing w:line="560" w:lineRule="exact" w:before="120"/>
        <w:ind w:firstLine="0"/>
      </w:pPr>
      <w:r>
        <w:rPr>
          <w:rFonts w:ascii="黑体" w:hAnsi="黑体" w:eastAsia="黑体"/>
          <w:b w:val="0"/>
          <w:sz w:val="32"/>
        </w:rPr>
        <w:t>3、湖北：千亿“产业舰队”扩容至19个</w:t>
      </w:r>
    </w:p>
    <w:p>
      <w:pPr>
        <w:spacing w:line="560" w:lineRule="exact"/>
        <w:ind w:firstLine="601"/>
      </w:pPr>
      <w:r>
        <w:rPr>
          <w:rFonts w:ascii="仿宋_GB2312" w:hAnsi="仿宋_GB2312" w:eastAsia="仿宋_GB2312"/>
          <w:sz w:val="32"/>
        </w:rPr>
        <w:t>9月2日，湖北省政府新闻办举行产业倍增篇发布会，介绍“十四五”制造业发展情况，全省千亿级产业达到19个，今年五大支柱产业有望全部迈入万亿级。主要措施：一是做大做强“51020”先进制造业集群，推动武汉光电子信息、“武襄十随”汽车晋升国家先进制造业集群，14个中小企业特色产业集群获批国家级；二是接续实施“万企万亿技改工程”，“十四五”累计实施工业技改项目2.15万个，武汉、宜昌获批全国制造业新型技术改造城市试点；三是推进战略性新兴产业倍增计划，全省高技术制造业增加值年均增速达19.7%；四是大力实施未来产业八大工程，认定5个省级未来产业先导区，人形机器人、人工智能等产业保持20%以上增速；五是统筹“三线并进”“三大融合”，聚力突破区域、产业、企业三个能级。</w:t>
      </w:r>
    </w:p>
    <w:p>
      <w:pPr>
        <w:spacing w:line="560" w:lineRule="exact"/>
        <w:ind w:firstLine="0"/>
      </w:pPr>
      <w:r>
        <w:rPr>
          <w:rFonts w:ascii="仿宋_GB2312" w:hAnsi="仿宋_GB2312" w:eastAsia="仿宋_GB2312"/>
          <w:sz w:val="21"/>
        </w:rPr>
        <w:t>来源：https://news.hubeidaily.net/pc/c_4482324.html</w:t>
      </w:r>
    </w:p>
    <w:p>
      <w:pPr>
        <w:spacing w:line="560" w:lineRule="exact" w:before="120"/>
        <w:ind w:firstLine="0"/>
      </w:pPr>
      <w:r>
        <w:rPr>
          <w:rFonts w:ascii="黑体" w:hAnsi="黑体" w:eastAsia="黑体"/>
          <w:b w:val="0"/>
          <w:sz w:val="32"/>
        </w:rPr>
        <w:t>4、陕西：对电动汽车大功率充电设施给予补贴</w:t>
      </w:r>
    </w:p>
    <w:p>
      <w:pPr>
        <w:spacing w:line="560" w:lineRule="exact"/>
        <w:ind w:firstLine="601"/>
      </w:pPr>
      <w:r>
        <w:rPr>
          <w:rFonts w:ascii="仿宋_GB2312" w:hAnsi="仿宋_GB2312" w:eastAsia="仿宋_GB2312"/>
          <w:sz w:val="32"/>
        </w:rPr>
        <w:t>9月2日，《陕西省电动汽车大功率充电设施建设财政补贴方案》印发，对2026年至2027年建成投运的公共大功率充电设施给予一次性建设补贴。主要措施：一是明确补贴对象为单枪最大输出功率250千瓦以上的直流大功率充电设备，须接入陕西智慧车联网平台正常运营；二是按核算功率分档补贴，兆瓦级（1000千瓦及以上）给予80元/千瓦，250千瓦至1000千瓦给予50元/千瓦；三是对县域范围内设施在上述标准基础上额外增加10元/千瓦；四是建立项目储备库，分2026年11月、2027年5月和11月三批次申报，经联合审查公示后由省财政厅拨付；五是要求投资主体近三年无违法违规记录且未获得其他同类资金支持。</w:t>
      </w:r>
    </w:p>
    <w:p>
      <w:pPr>
        <w:spacing w:line="560" w:lineRule="exact"/>
        <w:ind w:firstLine="0"/>
      </w:pPr>
      <w:r>
        <w:rPr>
          <w:rFonts w:ascii="仿宋_GB2312" w:hAnsi="仿宋_GB2312" w:eastAsia="仿宋_GB2312"/>
          <w:sz w:val="21"/>
        </w:rPr>
        <w:t>来源：https://www.sohu.com/a/1070754963_362042</w:t>
      </w:r>
    </w:p>
    <w:p>
      <w:pPr>
        <w:spacing w:line="560" w:lineRule="exact" w:before="120"/>
        <w:ind w:firstLine="0"/>
      </w:pPr>
      <w:r>
        <w:rPr>
          <w:rFonts w:ascii="黑体" w:hAnsi="黑体" w:eastAsia="黑体"/>
          <w:b w:val="0"/>
          <w:sz w:val="32"/>
        </w:rPr>
        <w:t>5、陕西：政府投资基金重点投资29个领域</w:t>
      </w:r>
    </w:p>
    <w:p>
      <w:pPr>
        <w:spacing w:line="560" w:lineRule="exact"/>
        <w:ind w:firstLine="601"/>
      </w:pPr>
      <w:r>
        <w:rPr>
          <w:rFonts w:ascii="仿宋_GB2312" w:hAnsi="仿宋_GB2312" w:eastAsia="仿宋_GB2312"/>
          <w:sz w:val="32"/>
        </w:rPr>
        <w:t>9月2日，陕西省发展改革委等五部门印发《陕西省政府投资基金重点投资领域清单》，明确29个重点投资领域，规范全省政府投资基金投资方向。主要措施：一是按三级分类列示，涵盖7个门类、33个大类，归纳细分为“12+12+5”共29个领域、112个方向；二是首个板块突出战略性新兴产业和未来产业，重点布局光子及量子、智能网联汽车、商业航天等；三是第二个板块凸显优势支柱产业，涵盖半导体与集成电路、航空航天、新能源汽车等；四是第三个板块体现地方基础特色，包括特色现代农业、现代能源、现代纺织等；五是引导投早、投小、投长期、投硬科技，避免投向偏离，保障合规有序。</w:t>
      </w:r>
    </w:p>
    <w:p>
      <w:pPr>
        <w:spacing w:line="560" w:lineRule="exact"/>
        <w:ind w:firstLine="0"/>
      </w:pPr>
      <w:r>
        <w:rPr>
          <w:rFonts w:ascii="仿宋_GB2312" w:hAnsi="仿宋_GB2312" w:eastAsia="仿宋_GB2312"/>
          <w:sz w:val="21"/>
        </w:rPr>
        <w:t>来源：https://k.sina.com.cn/article_5952915705_162d248f906703n21a.html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sz w:val="32"/>
      <w:rFonts w:eastAsia="仿宋_GB2312" w:ascii="仿宋_GB2312" w:hAnsi="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