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exact" w:line="560" w:after="80" w:before="0"/>
        <w:jc w:val="center"/>
      </w:pPr>
      <w:r>
        <w:rPr>
          <w:rFonts w:ascii="黑体" w:hAnsi="黑体" w:eastAsia="黑体"/>
          <w:b/>
          <w:sz w:val="32"/>
        </w:rPr>
        <w:t>媒体信息摘报</w:t>
      </w:r>
    </w:p>
    <w:p>
      <w:pPr>
        <w:spacing w:lineRule="exact" w:line="560" w:after="200" w:before="0"/>
        <w:jc w:val="center"/>
      </w:pPr>
      <w:r>
        <w:rPr>
          <w:rFonts w:ascii="仿宋_GB2312" w:hAnsi="仿宋_GB2312" w:eastAsia="仿宋_GB2312"/>
          <w:b w:val="0"/>
          <w:sz w:val="32"/>
        </w:rPr>
        <w:t>2026年8月14日（星期五）  省级党报经济·科技·消费创新举措精选（福建省可借鉴）</w:t>
      </w:r>
    </w:p>
    <w:p>
      <w:pPr>
        <w:spacing w:lineRule="exact" w:line="560" w:after="80" w:before="0"/>
      </w:pPr>
      <w:r>
        <w:rPr>
          <w:rFonts w:ascii="黑体" w:hAnsi="黑体" w:eastAsia="黑体"/>
          <w:b/>
          <w:sz w:val="32"/>
        </w:rPr>
        <w:t>节能降碳技术有了推荐手册</w:t>
      </w:r>
    </w:p>
    <w:p>
      <w:pPr>
        <w:spacing w:lineRule="exact" w:line="560" w:after="40" w:before="0"/>
      </w:pPr>
      <w:r>
        <w:rPr>
          <w:rFonts w:ascii="仿宋_GB2312" w:hAnsi="仿宋_GB2312" w:eastAsia="仿宋_GB2312"/>
          <w:b w:val="0"/>
          <w:sz w:val="32"/>
        </w:rPr>
        <w:t>近日，2026年全国生态日浙江（嘉兴）主场活动在长三角生态绿色一体化发展示范区（嘉善）企业交流服务基地举行，活动由嘉兴市政府、省发展改革委主办，聚焦“筑牢更高水平生态省绿色基石”。今年全国生态日以“厚植中国式现代化的绿色底色”为主题。活动中，浙江智库单位联合地方发改部门发布《重点行业节能降碳技术推荐手册》，并推出一系列绿色金融支撑举措。</w:t>
      </w:r>
    </w:p>
    <w:p>
      <w:pPr>
        <w:spacing w:lineRule="exact" w:line="560" w:after="40" w:before="0"/>
      </w:pPr>
      <w:r>
        <w:rPr>
          <w:rFonts w:ascii="仿宋_GB2312" w:hAnsi="仿宋_GB2312" w:eastAsia="仿宋_GB2312"/>
          <w:b w:val="0"/>
          <w:sz w:val="32"/>
        </w:rPr>
        <w:t>一是发布《重点行业节能降碳技术推荐手册》。手册围绕全省“双碳”赛道部署，针对主要用能工序梳理降碳痛点、逐一匹配适用技术，首批以纺织印染行业为范例，共收录95项技术、覆盖20个领域，从能源结构优化、生产工艺优化、污染物治理等六大维度系统梳理技术路径，供企业对照自查工艺设备是否落后、能效是否达标。</w:t>
      </w:r>
    </w:p>
    <w:p>
      <w:pPr>
        <w:spacing w:lineRule="exact" w:line="560" w:after="40" w:before="0"/>
      </w:pPr>
      <w:r>
        <w:rPr>
          <w:rFonts w:ascii="仿宋_GB2312" w:hAnsi="仿宋_GB2312" w:eastAsia="仿宋_GB2312"/>
          <w:b w:val="0"/>
          <w:sz w:val="32"/>
        </w:rPr>
        <w:t>二是扩大碳减排支持工具支持领域。人行浙江省分行明确，碳减排支持工具自2026年起扩大支持领域，覆盖节能降碳产业、资源循环利用、能源绿色低碳转型等六大领域。</w:t>
      </w:r>
    </w:p>
    <w:p>
      <w:pPr>
        <w:spacing w:lineRule="exact" w:line="560" w:after="40" w:before="0"/>
      </w:pPr>
      <w:r>
        <w:rPr>
          <w:rFonts w:ascii="仿宋_GB2312" w:hAnsi="仿宋_GB2312" w:eastAsia="仿宋_GB2312"/>
          <w:b w:val="0"/>
          <w:sz w:val="32"/>
        </w:rPr>
        <w:t>三是提高科技创新和技术改造再贷款规模与力度。科技创新和技术改造再贷款额度已提高至1.2万亿元，利率下调至1.25%。</w:t>
      </w:r>
    </w:p>
    <w:p>
      <w:pPr>
        <w:spacing w:lineRule="exact" w:line="560" w:after="40" w:before="0"/>
      </w:pPr>
      <w:r>
        <w:rPr>
          <w:rFonts w:ascii="仿宋_GB2312" w:hAnsi="仿宋_GB2312" w:eastAsia="仿宋_GB2312"/>
          <w:b w:val="0"/>
          <w:sz w:val="32"/>
        </w:rPr>
        <w:t>四是深化碳账户金融场景应用。全省碳账户金融场景应用持续深化，衢州、湖州两地已落地碳账户、碳效相关贷款超2500亿元。</w:t>
      </w:r>
    </w:p>
    <w:p>
      <w:pPr>
        <w:spacing w:lineRule="exact" w:line="560" w:after="240" w:before="0"/>
      </w:pPr>
      <w:r>
        <w:rPr>
          <w:rFonts w:ascii="仿宋_GB2312" w:hAnsi="仿宋_GB2312" w:eastAsia="仿宋_GB2312"/>
          <w:b w:val="0"/>
          <w:sz w:val="32"/>
        </w:rPr>
        <w:t>（信息来源：浙江日报8月14日《节能降碳技术有了推荐手册》  https://zjnews.zjol.com.cn/zjnews/202608/t20260814_31847899.shtml）</w:t>
      </w:r>
    </w:p>
    <w:p>
      <w:pPr>
        <w:spacing w:lineRule="exact" w:line="560" w:after="80" w:before="0"/>
      </w:pPr>
      <w:r>
        <w:rPr>
          <w:rFonts w:ascii="黑体" w:hAnsi="黑体" w:eastAsia="黑体"/>
          <w:b/>
          <w:sz w:val="32"/>
        </w:rPr>
        <w:t>从制造业大市到消费高地 佛山还有多远？</w:t>
      </w:r>
    </w:p>
    <w:p>
      <w:pPr>
        <w:spacing w:lineRule="exact" w:line="560" w:after="40" w:before="0"/>
      </w:pPr>
      <w:r>
        <w:rPr>
          <w:rFonts w:ascii="仿宋_GB2312" w:hAnsi="仿宋_GB2312" w:eastAsia="仿宋_GB2312"/>
          <w:b w:val="0"/>
          <w:sz w:val="32"/>
        </w:rPr>
        <w:t>近日，佛山推动“从制造业大市到消费高地”转型，一批商贸新项目新平台落户开业背后，是一套正在运转的政策“加速器”。</w:t>
      </w:r>
    </w:p>
    <w:p>
      <w:pPr>
        <w:spacing w:lineRule="exact" w:line="560" w:after="40" w:before="0"/>
      </w:pPr>
      <w:r>
        <w:rPr>
          <w:rFonts w:ascii="仿宋_GB2312" w:hAnsi="仿宋_GB2312" w:eastAsia="仿宋_GB2312"/>
          <w:b w:val="0"/>
          <w:sz w:val="32"/>
        </w:rPr>
        <w:t>一是争取国家级试点资金支持。去年底，佛山入选全国首批“三新”消费试点城市，获得中央财政4亿元资金支持；今年入选2026年现代商贸流通体系试点城市，获得中央财政2亿元资金支持，成为全国少数同时拥有两项国家级试点的城市。</w:t>
      </w:r>
    </w:p>
    <w:p>
      <w:pPr>
        <w:spacing w:lineRule="exact" w:line="560" w:after="40" w:before="0"/>
      </w:pPr>
      <w:r>
        <w:rPr>
          <w:rFonts w:ascii="仿宋_GB2312" w:hAnsi="仿宋_GB2312" w:eastAsia="仿宋_GB2312"/>
          <w:b w:val="0"/>
          <w:sz w:val="32"/>
        </w:rPr>
        <w:t>二是出台消费新业态新模式新场景资金管理办法。《佛山市消费新业态新模式新场景试点项目及资金管理办法》明确三大支持方向：健全首发经济服务体系、创新多元化服务消费场景、支持优质消费资源与知名IP跨界联名。</w:t>
      </w:r>
    </w:p>
    <w:p>
      <w:pPr>
        <w:spacing w:lineRule="exact" w:line="560" w:after="40" w:before="0"/>
      </w:pPr>
      <w:r>
        <w:rPr>
          <w:rFonts w:ascii="仿宋_GB2312" w:hAnsi="仿宋_GB2312" w:eastAsia="仿宋_GB2312"/>
          <w:b w:val="0"/>
          <w:sz w:val="32"/>
        </w:rPr>
        <w:t>三是印发生产性服务业扩能提质行动方案。今年4月，佛山市政府印发《佛山市生产性服务业扩能提质行动方案（2026—2028年）》，提出“3+5+3”的11个重点发展方向。</w:t>
      </w:r>
    </w:p>
    <w:p>
      <w:pPr>
        <w:spacing w:lineRule="exact" w:line="560" w:after="40" w:before="0"/>
      </w:pPr>
      <w:r>
        <w:rPr>
          <w:rFonts w:ascii="仿宋_GB2312" w:hAnsi="仿宋_GB2312" w:eastAsia="仿宋_GB2312"/>
          <w:b w:val="0"/>
          <w:sz w:val="32"/>
        </w:rPr>
        <w:t>四是审议服务业扩能提质实施意见。今年7月，市政府常务会议审议《佛山市深入推进服务业扩能提质实施意见》，强调深入实施服务业规模跃升工程、提质增效工程、生态培育工程。</w:t>
      </w:r>
    </w:p>
    <w:p>
      <w:pPr>
        <w:spacing w:lineRule="exact" w:line="560" w:after="240" w:before="0"/>
      </w:pPr>
      <w:r>
        <w:rPr>
          <w:rFonts w:ascii="仿宋_GB2312" w:hAnsi="仿宋_GB2312" w:eastAsia="仿宋_GB2312"/>
          <w:b w:val="0"/>
          <w:sz w:val="32"/>
        </w:rPr>
        <w:t>（信息来源：南方日报8月14日《从制造业大市到消费高地 佛山还有多远？》  https://epaper.nfnews.com/nfdaily/html/202608/14/content_10178652.html?origin=4）</w:t>
      </w:r>
    </w:p>
    <w:p>
      <w:pPr>
        <w:spacing w:lineRule="exact" w:line="560" w:after="80" w:before="0"/>
      </w:pPr>
      <w:r>
        <w:rPr>
          <w:rFonts w:ascii="黑体" w:hAnsi="黑体" w:eastAsia="黑体"/>
          <w:b/>
          <w:sz w:val="32"/>
        </w:rPr>
        <w:t>一半繁华烟火 一半诗意栖居——天津打造20个和美乡村重点片区 绘就宜居宜业新图景</w:t>
      </w:r>
    </w:p>
    <w:p>
      <w:pPr>
        <w:spacing w:lineRule="exact" w:line="560" w:after="40" w:before="0"/>
      </w:pPr>
      <w:r>
        <w:rPr>
          <w:rFonts w:ascii="仿宋_GB2312" w:hAnsi="仿宋_GB2312" w:eastAsia="仿宋_GB2312"/>
          <w:b w:val="0"/>
          <w:sz w:val="32"/>
        </w:rPr>
        <w:t>2026年，天津锚定“城乡和美·津沽融兴”主线，将宜居宜业和美乡村重点片区建设纳入全市年度重点工作，写入“十五五”农业农村现代化规划，全年统筹打造20个重点片区，以多村组团连片发展模式推进乡村振兴。</w:t>
      </w:r>
    </w:p>
    <w:p>
      <w:pPr>
        <w:spacing w:lineRule="exact" w:line="560" w:after="40" w:before="0"/>
      </w:pPr>
      <w:r>
        <w:rPr>
          <w:rFonts w:ascii="仿宋_GB2312" w:hAnsi="仿宋_GB2312" w:eastAsia="仿宋_GB2312"/>
          <w:b w:val="0"/>
          <w:sz w:val="32"/>
        </w:rPr>
        <w:t>一是纳入规划并明确目标体系。片区建设以确立一个发展主题、构建一个产业体系、培育一个专属品牌、壮大一批融合主体、建成一批美丽村庄、完善一套增收机制为目标；到2030年逐步建成50个左右重点片区，辐射带动300个左右村庄联动协调发展；到2027年整镇推进类片区率先基本实现农业农村现代化。</w:t>
      </w:r>
    </w:p>
    <w:p>
      <w:pPr>
        <w:spacing w:lineRule="exact" w:line="560" w:after="40" w:before="0"/>
      </w:pPr>
      <w:r>
        <w:rPr>
          <w:rFonts w:ascii="仿宋_GB2312" w:hAnsi="仿宋_GB2312" w:eastAsia="仿宋_GB2312"/>
          <w:b w:val="0"/>
          <w:sz w:val="32"/>
        </w:rPr>
        <w:t>二是推行多村组团连片发展模式。改变以往“单打独斗”，以样板村带动周边“五村联动”片区化发展，如津南区孙庄子村以“沽水·孙庄”项目为样板带动西官房等村片区化发展；宝坻区水韵大唐以5个村联动打造和美乡村片区。</w:t>
      </w:r>
    </w:p>
    <w:p>
      <w:pPr>
        <w:spacing w:lineRule="exact" w:line="560" w:after="40" w:before="0"/>
      </w:pPr>
      <w:r>
        <w:rPr>
          <w:rFonts w:ascii="仿宋_GB2312" w:hAnsi="仿宋_GB2312" w:eastAsia="仿宋_GB2312"/>
          <w:b w:val="0"/>
          <w:sz w:val="32"/>
        </w:rPr>
        <w:t>三是区属国企统一设计运营盘活闲置农房。以孙庄子村为例，由区属国企沽盛集团统一设计、运营，首批改造26套闲置农房打造精品民宿，建设集农文旅产品展销、电商直播、服务接待于一体的展销服务中心，竣工投用全长约2.1公里环村绿道。</w:t>
      </w:r>
    </w:p>
    <w:p>
      <w:pPr>
        <w:spacing w:lineRule="exact" w:line="560" w:after="40" w:before="0"/>
      </w:pPr>
      <w:r>
        <w:rPr>
          <w:rFonts w:ascii="仿宋_GB2312" w:hAnsi="仿宋_GB2312" w:eastAsia="仿宋_GB2312"/>
          <w:b w:val="0"/>
          <w:sz w:val="32"/>
        </w:rPr>
        <w:t>四是建立“资源变资产、资产变收益”联农带农机制。全市立足小站稻、特色瓜果、稻渔种养、乡村文旅等本土优势产业，完善仓储加工、电商展销、文旅配套全链条设施，统筹水系治理、绿化提升、基础设施改造。</w:t>
      </w:r>
    </w:p>
    <w:p>
      <w:pPr>
        <w:spacing w:lineRule="exact" w:line="560" w:after="240" w:before="0"/>
      </w:pPr>
      <w:r>
        <w:rPr>
          <w:rFonts w:ascii="仿宋_GB2312" w:hAnsi="仿宋_GB2312" w:eastAsia="仿宋_GB2312"/>
          <w:b w:val="0"/>
          <w:sz w:val="32"/>
        </w:rPr>
        <w:t>（信息来源：天津日报8月14日《一半繁华烟火 一半诗意栖居——天津打造20个和美乡村重点片区 绘就宜居宜业新图景》  https://epaper.tianjinwe.com/tjrb/html/2026-08/14/content_143082_3737816.htm）</w:t>
      </w:r>
    </w:p>
    <w:p>
      <w:pPr>
        <w:spacing w:lineRule="exact" w:line="560" w:after="80" w:before="0"/>
      </w:pPr>
      <w:r>
        <w:rPr>
          <w:rFonts w:ascii="黑体" w:hAnsi="黑体" w:eastAsia="黑体"/>
          <w:b/>
          <w:sz w:val="32"/>
        </w:rPr>
        <w:t>机械工业云平台落地苏州高铁新城</w:t>
      </w:r>
    </w:p>
    <w:p>
      <w:pPr>
        <w:spacing w:lineRule="exact" w:line="560" w:after="40" w:before="0"/>
      </w:pPr>
      <w:r>
        <w:rPr>
          <w:rFonts w:ascii="仿宋_GB2312" w:hAnsi="仿宋_GB2312" w:eastAsia="仿宋_GB2312"/>
          <w:b w:val="0"/>
          <w:sz w:val="32"/>
        </w:rPr>
        <w:t>近日，2026机械工业云平台发布会在苏州高铁新城举行，机械工业云平台及巧工·智能体系统正式对外发布，是国机集团与苏州战略合作、央地协同推进新型工业化的具体行动。</w:t>
      </w:r>
    </w:p>
    <w:p>
      <w:pPr>
        <w:spacing w:lineRule="exact" w:line="560" w:after="40" w:before="0"/>
      </w:pPr>
      <w:r>
        <w:rPr>
          <w:rFonts w:ascii="仿宋_GB2312" w:hAnsi="仿宋_GB2312" w:eastAsia="仿宋_GB2312"/>
          <w:b w:val="0"/>
          <w:sz w:val="32"/>
        </w:rPr>
        <w:t>一是构建“数据基础设施+产业基础模型+行业应用生态”一体化能力体系。机械工业云平台打通全链条数据壁垒，整合国家级工艺知识库、普惠算力、工业软件适配资源，形成从数字底座到前端应用落地的完整能力闭环。</w:t>
      </w:r>
    </w:p>
    <w:p>
      <w:pPr>
        <w:spacing w:lineRule="exact" w:line="560" w:after="40" w:before="0"/>
      </w:pPr>
      <w:r>
        <w:rPr>
          <w:rFonts w:ascii="仿宋_GB2312" w:hAnsi="仿宋_GB2312" w:eastAsia="仿宋_GB2312"/>
          <w:b w:val="0"/>
          <w:sz w:val="32"/>
        </w:rPr>
        <w:t>二是建设巧工·智能体系统四大核心体系。巧工·智能体构建工业词元、工业技能、工业专家、工业MCP连接器四大核心体系，实现AI听懂工业指令、调用工业软件、执行工业任务。</w:t>
      </w:r>
    </w:p>
    <w:p>
      <w:pPr>
        <w:spacing w:lineRule="exact" w:line="560" w:after="40" w:before="0"/>
      </w:pPr>
      <w:r>
        <w:rPr>
          <w:rFonts w:ascii="仿宋_GB2312" w:hAnsi="仿宋_GB2312" w:eastAsia="仿宋_GB2312"/>
          <w:b w:val="0"/>
          <w:sz w:val="32"/>
        </w:rPr>
        <w:t>三是央地协同打造可复制示范标杆。国机集团全力推动“机械工业云”项目落地见效，把行业经验沉淀为可复用的数字能力，将苏州产业场景打造成可复制的示范标杆，走出一条央地协同推进新型工业化的新路径，为全国机械工业行业高质量发展打造样板。</w:t>
      </w:r>
    </w:p>
    <w:p>
      <w:pPr>
        <w:spacing w:lineRule="exact" w:line="560" w:after="40" w:before="0"/>
      </w:pPr>
      <w:r>
        <w:rPr>
          <w:rFonts w:ascii="仿宋_GB2312" w:hAnsi="仿宋_GB2312" w:eastAsia="仿宋_GB2312"/>
          <w:b w:val="0"/>
          <w:sz w:val="32"/>
        </w:rPr>
        <w:t>四是集聚数智经济创新生态。苏州高铁新城作为相城区科创战略布局核心承载地，积极抢抓人工智能发展机遇，已集聚数智经济相关企业超260家，落地重点科创平台14个，搭建起全链条创新生态圈。</w:t>
      </w:r>
    </w:p>
    <w:p>
      <w:pPr>
        <w:spacing w:lineRule="exact" w:line="560" w:after="240" w:before="0"/>
      </w:pPr>
      <w:r>
        <w:rPr>
          <w:rFonts w:ascii="仿宋_GB2312" w:hAnsi="仿宋_GB2312" w:eastAsia="仿宋_GB2312"/>
          <w:b w:val="0"/>
          <w:sz w:val="32"/>
        </w:rPr>
        <w:t>（信息来源：新华日报8月14日《机械工业云平台落地苏州高铁新城》  https://finance.sina.com.cn/jjxw/2026-08-14/doc-ininfmmz3070838.shtml）</w:t>
      </w:r>
    </w:p>
    <w:p>
      <w:pPr>
        <w:spacing w:lineRule="exact" w:line="560" w:after="80" w:before="0"/>
      </w:pPr>
      <w:r>
        <w:rPr>
          <w:rFonts w:ascii="黑体" w:hAnsi="黑体" w:eastAsia="黑体"/>
          <w:b/>
          <w:sz w:val="32"/>
        </w:rPr>
        <w:t>破解青年就业“能力难辨识”难题</w:t>
      </w:r>
    </w:p>
    <w:p>
      <w:pPr>
        <w:spacing w:lineRule="exact" w:line="560" w:after="40" w:before="0"/>
      </w:pPr>
      <w:r>
        <w:rPr>
          <w:rFonts w:ascii="仿宋_GB2312" w:hAnsi="仿宋_GB2312" w:eastAsia="仿宋_GB2312"/>
          <w:b w:val="0"/>
          <w:sz w:val="32"/>
        </w:rPr>
        <w:t>8月13日，四川省职业技能鉴定指导中心介绍，全省正开展2026年高校毕业生等青年“提技能、促就业”专项行动技能评价服务，将学员培训成果转化为技能凭证，破解青年求职“无技能佐证、能力难辨识”难题。</w:t>
      </w:r>
    </w:p>
    <w:p>
      <w:pPr>
        <w:spacing w:lineRule="exact" w:line="560" w:after="40" w:before="0"/>
      </w:pPr>
      <w:r>
        <w:rPr>
          <w:rFonts w:ascii="仿宋_GB2312" w:hAnsi="仿宋_GB2312" w:eastAsia="仿宋_GB2312"/>
          <w:b w:val="0"/>
          <w:sz w:val="32"/>
        </w:rPr>
        <w:t>一是将技能评价服务嵌入技能培训全过程。8月至10月，全省集中开展专项行动期间，各市（州）需主动将技能评价服务嵌入技能培训全过程，确保学员培训结束后可就地就近参加技能评价，实现培训与评价无缝衔接。</w:t>
      </w:r>
    </w:p>
    <w:p>
      <w:pPr>
        <w:spacing w:lineRule="exact" w:line="560" w:after="40" w:before="0"/>
      </w:pPr>
      <w:r>
        <w:rPr>
          <w:rFonts w:ascii="仿宋_GB2312" w:hAnsi="仿宋_GB2312" w:eastAsia="仿宋_GB2312"/>
          <w:b w:val="0"/>
          <w:sz w:val="32"/>
        </w:rPr>
        <w:t>二是精准对接重点产业链建设需求。专项行动培训项目与技能评价服务紧密贴合四川产业发展布局，精准对接“15+N”重点产业链建设需求，涵盖新能源汽车、人工智能与数字经济、现代服务业等领域，解决传统培训与产业需求脱节、技能与岗位不匹配问题。</w:t>
      </w:r>
    </w:p>
    <w:p>
      <w:pPr>
        <w:spacing w:lineRule="exact" w:line="560" w:after="40" w:before="0"/>
      </w:pPr>
      <w:r>
        <w:rPr>
          <w:rFonts w:ascii="仿宋_GB2312" w:hAnsi="仿宋_GB2312" w:eastAsia="仿宋_GB2312"/>
          <w:b w:val="0"/>
          <w:sz w:val="32"/>
        </w:rPr>
        <w:t>三是两类技能评价证书具备国家认可效力。学员参加对应职业（工种）技能等级认定考试可取得职业技能等级证书，参加专项职业能力考核可取得专项职业能力证书；两类证书均具备国家认可效力，可作为求职就业、岗位定级、薪资核定、创业发展重要依据。目前全省19个市（州）195家评价机构可开展评价。</w:t>
      </w:r>
    </w:p>
    <w:p>
      <w:pPr>
        <w:spacing w:lineRule="exact" w:line="560" w:after="40" w:before="0"/>
      </w:pPr>
      <w:r>
        <w:rPr>
          <w:rFonts w:ascii="仿宋_GB2312" w:hAnsi="仿宋_GB2312" w:eastAsia="仿宋_GB2312"/>
          <w:b w:val="0"/>
          <w:sz w:val="32"/>
        </w:rPr>
        <w:t>四是建立“岗位需求—技能培训—技能评价—就业服务”闭环模式。四川推动培训学习、技能评价、岗位招聘一体贯通，把技能培训成效转化为就业竞争力。</w:t>
      </w:r>
    </w:p>
    <w:p>
      <w:pPr>
        <w:spacing w:lineRule="exact" w:line="560" w:after="240" w:before="0"/>
      </w:pPr>
      <w:r>
        <w:rPr>
          <w:rFonts w:ascii="仿宋_GB2312" w:hAnsi="仿宋_GB2312" w:eastAsia="仿宋_GB2312"/>
          <w:b w:val="0"/>
          <w:sz w:val="32"/>
        </w:rPr>
        <w:t>（信息来源：四川日报8月14日《破解青年就业“能力难辨识”难题》  https://epaper.scdaily.cn/shtml/scrb/20260814/1086859.html）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_GB2312" w:hAnsi="仿宋_GB2312" w:eastAsia="仿宋_GB2312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