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0" w:after="0"/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spacing w:lineRule="exact" w:line="560" w:before="0" w:after="0"/>
        <w:jc w:val="center"/>
      </w:pPr>
      <w:r>
        <w:rPr>
          <w:rFonts w:ascii="楷体_GB2312" w:hAnsi="楷体_GB2312" w:eastAsia="楷体_GB2312"/>
          <w:b w:val="0"/>
          <w:sz w:val="28"/>
        </w:rPr>
        <w:t>2026年9月18日</w:t>
      </w:r>
    </w:p>
    <w:p>
      <w:pPr>
        <w:spacing w:lineRule="exact" w:line="560" w:before="0" w:after="0"/>
      </w:pPr>
      <w:r>
        <w:rPr>
          <w:rFonts w:ascii="黑体" w:hAnsi="黑体" w:eastAsia="黑体"/>
          <w:b/>
          <w:sz w:val="32"/>
        </w:rPr>
        <w:t>1．一图读懂｜未来五年城市如何更新？江苏“十五五”城市更新专项规划来了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江苏省住房和城乡建设厅9月17日发布《江苏省“十五五”城市更新专项规划》，明确六大任务、十四项重点工程，同时提出两类十项支撑举措，为未来五年全省城市更新工作提供纲领性指引。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一是明确四条规划思路。立足“省级”定位，对上全面衔接国家城市更新“十五五”规划、对下协同地方面向实施；立足城市更新的“社会”属性和“经济”属性，从目标指标、重点任务到政策措施体现惠民生、稳增长、促发展；立足“五年”规划期，按照“资金、要素跟着项目走，项目跟着规划走”要求衔接三年行动计划；立足改革创新，注重政策和制度供给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二是设定到2030年的量化目标。城市危旧房改造10000套，新开工改造城镇老旧小区1500个，住宅老旧电梯更新40000台，改造420个城中村，培育1000个完整社区，改造提升150个老旧街区厂区，修缮600处历史建筑；城市基础设施生命线安全工程有效覆盖率不低于85%，城市地下管网改造18000公里，城市公园绿地改造提升700公顷，城市运行管理服务平台覆盖率达到100%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三是构建“目标任务—重点工程—支撑举措”体系。围绕六大任务部署十四项重点工程，同步提出两类十项支撑举措，推动一批在全国有代表性的城市更新片区和更新项目落地见效，基本建立可持续的城市更新模式和政策法规，在城市结构优化、动能转换、品质提升、绿色转型、文脉赓续、治理增效等方面形成成效。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（信息来源：扬子晚报 2026年9月18日）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原文标题及链接：一图读懂｜未来五年城市如何更新？江苏“十五五”城市更新专项规划来了</w:t>
      </w:r>
    </w:p>
    <w:p>
      <w:pPr>
        <w:spacing w:lineRule="exact" w:line="560" w:before="0" w:after="0"/>
      </w:pPr>
      <w:hyperlink r:id="rId9">
        <w:r>
          <w:rPr>
            <w:rFonts w:ascii="仿宋_GB2312" w:hAnsi="仿宋_GB2312" w:eastAsia="仿宋_GB2312"/>
            <w:sz w:val="32"/>
            <w:color w:val="0563C1"/>
            <w:u w:val="single"/>
          </w:rPr>
          <w:t xml:space="preserve">https://www.yangtse.com/news/jiangsu/202609/t20260918_393857.html</w:t>
        </w:r>
      </w:hyperlink>
    </w:p>
    <w:p/>
    <w:p>
      <w:pPr>
        <w:spacing w:lineRule="exact" w:line="560" w:before="0" w:after="0"/>
      </w:pPr>
      <w:r>
        <w:rPr>
          <w:rFonts w:ascii="黑体" w:hAnsi="黑体" w:eastAsia="黑体"/>
          <w:b/>
          <w:sz w:val="32"/>
        </w:rPr>
        <w:t>2．未来5年四川“城市更美、家园更安”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四川省住房和城乡建设厅近日发布《四川省住房城乡建设事业高质量发展“十五五”规划》，提出到2030年实现“城市更美、家园更安”，走出一条具有巴蜀辨识度的住建高质量发展之路。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一是推行“片区统建统运”。建立“先体检、后更新；无体检、不更新”制度，完善“专项规划—片区策划—项目实施方案”三级实施体系，把有限资源用在最急需的地方；不再搞零散的单点改造、碎片化建设，以整片片区为单位统一谋划，把规划、设计、建设、投融资、后期运营、基层治理全部统筹起来，整体算账、整体平衡，杜绝糊涂账、避免重复投入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二是引入城市合伙人机制。在长效运营方面打破过去“政府单打独斗”的老模式，积极引入社会资本参与城市更新。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三是分类施策搭建四级联动体系。构建成都都市圈—省域副中心及区域中心城市—中小城市—县域四级联动体系：成都都市圈构建“新区引领、主城支撑、县市新城突破”格局；支持绵阳、宜宾—泸州、南充—达州、乐山推进城市更新；中小城市紧扣人口变化精准发力，引导人口净流出城市动态优化基础设施布局和公共服务供给；县域全面开展县城体检补短板，强化39个欠发达县域托底帮扶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四是历史资源连片保护。依托蜀道、茶马古道、长征、三线建设等文脉主线，把全省散落的历史资源串联成片；把所有历史街区、村落、建筑全部纳入保护体系，坚决纠治拆真建假、乱改乱建，守住历史原貌；通过文商旅融合、街区复兴、数字建档推动活化利用。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（信息来源：华西都市报 2026年9月18日）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原文标题及链接：未来5年四川“城市更美、家园更安”</w:t>
      </w:r>
    </w:p>
    <w:p>
      <w:pPr>
        <w:spacing w:lineRule="exact" w:line="560" w:before="0" w:after="0"/>
      </w:pPr>
      <w:hyperlink r:id="rId10">
        <w:r>
          <w:rPr>
            <w:rFonts w:ascii="仿宋_GB2312" w:hAnsi="仿宋_GB2312" w:eastAsia="仿宋_GB2312"/>
            <w:sz w:val="32"/>
            <w:color w:val="0563C1"/>
            <w:u w:val="single"/>
          </w:rPr>
          <w:t xml:space="preserve">https://e.thecover.cn/shtml/hxdsb/20260918/252222.shtml</w:t>
        </w:r>
      </w:hyperlink>
    </w:p>
    <w:p/>
    <w:p>
      <w:pPr>
        <w:spacing w:lineRule="exact" w:line="560" w:before="0" w:after="0"/>
      </w:pPr>
      <w:r>
        <w:rPr>
          <w:rFonts w:ascii="黑体" w:hAnsi="黑体" w:eastAsia="黑体"/>
          <w:b/>
          <w:sz w:val="32"/>
        </w:rPr>
        <w:t>3．山东省人民政府印发《山东省“十五五”应急管理体系建设规划》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山东省人民政府以鲁政发〔2026〕6号印发《山东省“十五五”应急管理体系建设规划》，提出到2030年应急管理体系现代化建设取得重要阶段性成效，治理模式向事前预防转型取得显著成效。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一是健全大安全大应急框架下应急指挥机制。推动省、市、县级应急指挥部标准化建设，推行市、县应急管理部门与消防救援机构常态化联合值守；优化应急指挥“一张图”；实施370MHz网络覆盖补点扩面行动，提升“断路、断网、断电”极端条件下的应急通信保底能力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二是深化安全生产治本攻坚。严格落实“党政同责、一岗双责”和“三管三必须”；严格高危行业建设项目“三同时”和安全生产许可审查，严格执行化工园区“禁限控”目录，建立新兴产业动态准入机制；落实安全生产有奖举报和事故隐患内部报告奖励机制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三是深入开展重点行业专项整治。聚焦危险化学品及化工、矿山、工贸、交通运输、建筑施工、燃气、消防、烟花爆竹、新能源等领域开展“一件事”全链条治理；其中建筑施工领域聚焦危险性较大的分部分项工程、建筑保温材料和施工现场高危作业，推进智慧工地建设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四是夯实防灾减灾与基层基础。推进城市“平急两用”公共基础设施和城乡应急避难场所建设；实现全省乡镇（街道）、重点村（社区）应急救援站全覆盖；中风险以上地区应急物资政府实物储备不低于50%；开展“人工智能+应急管理”创新应用行动，依托“久安”大模型赋能“安全生产一网通”“应急指挥一张图”平台。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（信息来源：大众日报 2026年9月18日）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原文标题及链接：山东省人民政府印发《山东省“十五五”应急管理体系建设规划》</w:t>
      </w:r>
    </w:p>
    <w:p>
      <w:pPr>
        <w:spacing w:lineRule="exact" w:line="560" w:before="0" w:after="0"/>
      </w:pPr>
      <w:hyperlink r:id="rId11">
        <w:r>
          <w:rPr>
            <w:rFonts w:ascii="仿宋_GB2312" w:hAnsi="仿宋_GB2312" w:eastAsia="仿宋_GB2312"/>
            <w:sz w:val="32"/>
            <w:color w:val="0563C1"/>
            <w:u w:val="single"/>
          </w:rPr>
          <w:t xml:space="preserve">https://dzrb.dzng.com/general/0/NEWS3689319SYOQDPULZUUAV</w:t>
        </w:r>
      </w:hyperlink>
    </w:p>
    <w:p/>
    <w:p>
      <w:pPr>
        <w:spacing w:lineRule="exact" w:line="560" w:before="0" w:after="0"/>
      </w:pPr>
      <w:r>
        <w:rPr>
          <w:rFonts w:ascii="黑体" w:hAnsi="黑体" w:eastAsia="黑体"/>
          <w:b/>
          <w:sz w:val="32"/>
        </w:rPr>
        <w:t>4．青雁归清 英才筑梦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广东清远英德市深入开展“青雁归清”工作，以“情暖、情牵、情引”为主线，建立覆盖“高考学子—在读学子—毕业学子”全链条青年人才常态化联系服务机制，制定15项举措。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一是情暖高考学子，以研学引路。围绕重点产业设置医疗健康、绿色能源与电气自动化、基础教育与研学培训、高性能新材料、农文旅一体化五大主题研学线路，组织200名高三毕业生走进产业一线；高考后组织志愿填报咨询会，开展“薪火相传”“学长领航”分享，分专业建立线上公益助考咨询群；联动高校联络站，聘任60名优秀学子担任“百千万工程”宣传志愿者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二是情牵在读学子，政校家联动织密联系网。依托“1+24+N”人才驿站体系，引导青年大学生通过实习实践、志愿服务深入基层一线；市委书记带头，24个镇（街）党工委书记分别主持举办“青雁归清”座谈会；建立青年学子人才库，按市、镇、村三级建立英德籍大学生名册并动态管理，线上搭建24个镇（街）“雁归”大学生服务群，每群配备1名人才专员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三是情引毕业学子，搭台赋能做优就业创业保障。构建“政府搭台+企业主导+高校参与+社会联动”引才格局，建立“常态招聘+专场招聘+专项招聘”模式，累计举办招聘活动50场、引进933名人才；创新推出“云端探岗+五省联动”模式，以直播探厂、探岗形式联动五省六校；连续举办十一届“英州杯”创新创业大赛，完善项目孵化、导师培训、资源对接、资金补贴全链条扶持体系。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（信息来源：南方日报 2026年9月18日）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原文标题及链接：青雁归清 英才筑梦</w:t>
      </w:r>
    </w:p>
    <w:p>
      <w:pPr>
        <w:spacing w:lineRule="exact" w:line="560" w:before="0" w:after="0"/>
      </w:pPr>
      <w:hyperlink r:id="rId12">
        <w:r>
          <w:rPr>
            <w:rFonts w:ascii="仿宋_GB2312" w:hAnsi="仿宋_GB2312" w:eastAsia="仿宋_GB2312"/>
            <w:sz w:val="32"/>
            <w:color w:val="0563C1"/>
            <w:u w:val="single"/>
          </w:rPr>
          <w:t xml:space="preserve">https://k.sina.com.cn/article_7517400647_1c0126e470590991ua.html</w:t>
        </w:r>
      </w:hyperlink>
    </w:p>
    <w:p/>
    <w:p>
      <w:pPr>
        <w:spacing w:lineRule="exact" w:line="560" w:before="0" w:after="0"/>
      </w:pPr>
      <w:r>
        <w:rPr>
          <w:rFonts w:ascii="黑体" w:hAnsi="黑体" w:eastAsia="黑体"/>
          <w:b/>
          <w:sz w:val="32"/>
        </w:rPr>
        <w:t>5．《浙江省涉外营商环境评价报告2025/2026》发布 外企对浙江营商环境满意度进一步提升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由浙江省贸促会牵头编撰的《浙江省涉外营商环境评价报告2025/2026》9月17日在杭州发布，报告全面梳理在浙外资企业对政策、服务、创新氛围的综合评价，为全省营商环境迭代升级提供客观依据。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一是以大规模调研支撑评价结论。过去一年，省贸促会面向全省外资企业发放问卷，回收有效问卷1252份，累计举办87场座谈会，实地走访企业1071家次，电话调研4358家次，收集企业意见诉求695条；调研样本覆盖全省所有设区市，兼顾不同投资来源、行业赛道与企业规模，在此基础上形成年度报告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二是明确评价维度与得分。报告显示，浙江涉外营商环境整体满意度得分为4.45分（5分制），较上年度提升0.22分；贸易环境、人力资源供给、金融服务、基础设施等获得企业广泛认可。报告还显示，在浙外资经营底盘稳健、投资信心充足，面对复杂外部环境，企业发展心态趋于理性审慎，长期深耕浙江的意愿坚定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三是拓展多语种版本与国际传播。今年报告在中英文版本基础上，新增由浙江省国际传播中心共同翻译制作的法语、德语版；活动现场，中、英、德、法四种语言版本集中亮相。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四是启动全球伙伴合作计划。浙江省国际传播中心与省贸促会共同启动“机遇中国·看浙里”全球伙伴合作计划，将联合智库单位、商务机构、外资企业等，向世界展现浙江经济发展活力。此次活动由省贸促会、浙江日报报业集团主办，浙江省国际传播中心、浙江省经济信息中心协办。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（信息来源：浙江日报 2026年9月18日）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原文标题及链接：《浙江省涉外营商环境评价报告2025/2026》发布 外企对浙江营商环境满意度进一步提升</w:t>
      </w:r>
    </w:p>
    <w:p>
      <w:pPr>
        <w:spacing w:lineRule="exact" w:line="560" w:before="0" w:after="0"/>
      </w:pPr>
      <w:hyperlink r:id="rId13">
        <w:r>
          <w:rPr>
            <w:rFonts w:ascii="仿宋_GB2312" w:hAnsi="仿宋_GB2312" w:eastAsia="仿宋_GB2312"/>
            <w:sz w:val="32"/>
            <w:color w:val="0563C1"/>
            <w:u w:val="single"/>
          </w:rPr>
          <w:t xml:space="preserve">https://news.hangzhou.com.cn/zjnews/content/2026-09/18/content_9309995.htm</w:t>
        </w:r>
      </w:hyperlink>
    </w:p>
    <w:sectPr w:rsidR="00FC693F" w:rsidRPr="0006063C" w:rsidSect="00034616">
      <w:pgSz w:w="12240" w:h="15840"/>
      <w:pgMar w:top="2098" w:right="1474" w:bottom="198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angtse.com/news/jiangsu/202609/t20260918_393857.html" TargetMode="External"/><Relationship Id="rId10" Type="http://schemas.openxmlformats.org/officeDocument/2006/relationships/hyperlink" Target="https://e.thecover.cn/shtml/hxdsb/20260918/252222.shtml" TargetMode="External"/><Relationship Id="rId11" Type="http://schemas.openxmlformats.org/officeDocument/2006/relationships/hyperlink" Target="https://dzrb.dzng.com/general/0/NEWS3689319SYOQDPULZUUAV" TargetMode="External"/><Relationship Id="rId12" Type="http://schemas.openxmlformats.org/officeDocument/2006/relationships/hyperlink" Target="https://k.sina.com.cn/article_7517400647_1c0126e470590991ua.html" TargetMode="External"/><Relationship Id="rId13" Type="http://schemas.openxmlformats.org/officeDocument/2006/relationships/hyperlink" Target="https://news.hangzhou.com.cn/zjnews/content/2026-09/18/content_9309995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