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 w:line="560" w:lineRule="exact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媒体信息摘报</w:t>
      </w:r>
    </w:p>
    <w:p>
      <w:pPr>
        <w:spacing w:after="400" w:before="0" w:line="560" w:lineRule="exact"/>
        <w:jc w:val="center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2026年7月17日  省级党报经济·科技·消费创新举措精选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全省大豆离岸现货保税交易首单落地南沙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近日,广东自贸试验区南沙片区落地全省首单大豆离岸现货保税交易,标志着南沙在打造大宗商品资源配置枢纽上迈出关键一步。从获批开展相关业务资质到首单落地,仅用4个多月。一是创新交易模式,突破传统大豆"单一定向"购销模式,允许处于保税状态的进口大豆在境内产业链上自由交易、转让,买卖双方可多次流转,企业可根据市场行情灵活择机购销,提升资金周转效率与价格发现能力。二是搭建全链条政策体系,依托南沙面向粤港澳大湾区的税收优惠,对符合条件的企业实施企业所得税、个人所得税"双15%"政策,叠加保税仓储、口岸通关便利,降低企业综合成本。三是完善配套服务,联动海关、金融机构、仓储物流企业,构建"交易+仓储+物流+金融"一体化服务生态,为企业提供保税交割、融资质押、风险管理等配套支撑。四是发挥平台集聚效应,以离岸现货保税交易为切入口,吸引大宗商品贸易企业、供应链服务商集聚,推动南沙从单一进口通道向资源配置枢纽升级,增强对全省乃至华南地区大豆及粮油产业链的辐射带动能力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（信息来源：南方日报7月17日《全省大豆离岸现货保税交易 首单落地南沙》  https://epaper.nfnews.com/nfdaily/html/202607/17/content_10175984.html）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"人工智能+"驱动产业提质增效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河北深入实施"人工智能+"行动,以算力、数据、模型、场景为抓手,推动人工智能与实体经济深度融合、驱动产业提质增效。一是降低算力使用成本,发放"算力券"支持中小企业和科研机构使用云上算力,最高可为企业降低算力使用成本50%,让更多经营主体用得起、用得上智能算力。二是夯实算力底座,建设河北人工智能计算中心等全栈国产化公共算力平台,并接入京津冀公共算力服务平台,开展跨区域算力监测调度,实现三地算力资源统筹共享、余缺互济。三是壮大模型和智能体供给,推动全省上线413个垂直行业大模型、86个智能体,覆盖工业、农业、政务、医疗等重点领域,推动大模型从通用能力向行业场景落地。四是拓展融合应用场景,在制造领域推广AI质检、智能排产,在农业领域应用病虫害识别、精准种植,在快递物流领域优化路径规划与智能分拣,以典型场景牵引技术迭代升级。五是完善数据要素支撑,布局建设人工智能数据标注基地,推动高质量行业数据集汇聚开发,为大模型训练和产业应用提供数据"燃料"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（信息来源：河北日报7月17日《"人工智能+"驱动产业提质增效》  https://k.sina.com.cn/article_5952915720_162d2490806704fury.html）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云南出台20条措施培育旅居创业新动能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近日,云南省人力资源和社会保障厅、云南省文化和旅游厅联合印发《培育旅居创业新动能20条措施》,从6个方面推出20条举措,支持旅居人员等各类人才在滇创新创业,推动旅游向旅居、旅居向旅创转型。一是聚焦特色优势产业创业,支持旅居创业人员围绕产业链空白创办"补链式"配套企业,探索"旅创IP+农业经营主体+农户"合作模式,打造"云南非遗大观园"和"前店后厂"式体验工坊,对取得资质的养老或健康管理机构给予不超过20万元补助。二是培育多元创业主体,完善"旅创人才库",实施新时代"银龄人才万人计划",打造一批人工智能OPC生态社区。三是整合平台资源,建立"旅创资产库",摸排闲置办公楼、旧厂房、传统村落空置房,给予租金水电优惠减免,建立并动态发布"旅居创业机会清单"。四是提升创业能力,将电子商务师、网络主播、民宿管家等纳入职业技能培训补贴目录,开发"云花""云咖""云茶""云旅"特色课程。五是推动降本减负,推广"云岭创业贷",企业法人最高可申请500万元信用贷款,个人最高50万元,符合条件给予5000元一次性创业补贴。六是营造良好环境,建立重点孵化项目库开展"跟踪陪跑",举办"创在云南"专项赛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（信息来源：民族时报7月17日《云南出台20条措施培育旅居创业新动能》  https://mzsb.yunnan.cn/html/2026/20260717/20260717_001/20260717_001_05.html）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江苏推出62条措施深入实施提振消费专项行动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近日,江苏省深入实施提振消费专项行动,推出62条具体措施,通过以增收减负提升消费能力、以高质量供给创造有效需求、以优化环境增强消费意愿,针对性破解制约消费的突出问题。一是扩消费与惠民生、增收入相结合,适时适度调整最低工资标准,将城乡居民医保财政补助省定基础标准提高至人均730元,鼓励带薪年休假与小长假连休、弹性错峰休假,让政策红利落到群众"腰包"。二是释放大宗消费潜力,深化消费品以旧换新,家电购新补贴品类扩围至58类,开通京东、淘宝等10个申领渠道,全面打通支付宝、微信等支付方式,提升换新便捷度。三是打造新业态新模式新场景,创新推出"苏超联赛+苏新消费"联动IP,以城市足球联赛等重大赛事为契机,打造集观赛、美食、互动娱乐于一体的"第二现场",挖掘商文旅体融合消费潜力。四是以赛事引流带动跨区域流动、跨领域消费,形成"体育赛事引流、文旅消费释放"新模式,推动出行、餐饮、住宿、体育等服务场景联动。五是强化部门协同,由发改、商务、文旅、市场监管、体育等部门联合推进,并通过政策解读专场答疑解惑,推动措施精准落地、直达经营主体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（信息来源：新华报业网7月17日《"先锋直播间"开通"提振消费"政策解读专场》  https://jsnews.jschina.com.cn/jsyw/202507/t20250717_s6878e551e4b0b966ca079ea0.shtml）</w:t>
      </w:r>
    </w:p>
    <w:p>
      <w:pPr>
        <w:spacing w:after="100" w:before="3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用心服务聚力同行，走好专精特新发展之路</w:t>
      </w:r>
    </w:p>
    <w:p>
      <w:pPr>
        <w:spacing w:after="100" w:before="0" w:line="560" w:lineRule="exact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近日,江苏启动中小微企业服务周,以"苏心办 益企行"为主题,构建"1场省级主场活动+N项省直部门专项服务+13个设区市特色配套活动"的联动服务模式,为中小微企业和专精特新企业送政策、送服务、送资源。一是省发展改革委聚焦人工智能赛道,发布人工智能OPC专项政策18项措施,以"五个全"为框架系统赋能:全周期培育,覆盖企业从初创到成长壮大各阶段;全要素赋能,统筹算力、数据、模型、人才等关键要素供给;全链条服务,打通研发、中试、应用、融资等环节;全场景开放,推动公共数据和应用场景向企业开放;全方位护航,强化知识产权、合规和权益保障。二是省工业和信息化厅实施数字赋能"AI领航"行动,引导中小企业开展数字化改造和智能化升级,推动"链式转型"。三是搭建常态化对接平台,组织政银企对接、供需撮合、人才招引等专项活动,推动金融机构创新信贷产品、加大对专精特新企业支持。四是强化省市县协同,13个设区市结合本地产业特色开展配套活动,形成上下贯通、部门联动的服务合力,引导更多中小企业走专业化、精细化、特色化、新颖化发展之路。</w:t>
      </w:r>
    </w:p>
    <w:p>
      <w:pPr>
        <w:spacing w:after="300" w:before="0" w:line="560" w:lineRule="exact"/>
      </w:pPr>
      <w:r>
        <w:rPr>
          <w:rFonts w:ascii="FangSong_GB2312" w:cs="FangSong_GB2312" w:eastAsia="FangSong_GB2312" w:hAnsi="FangSong_GB2312"/>
          <w:i/>
          <w:iCs/>
          <w:sz w:val="32"/>
          <w:szCs w:val="32"/>
        </w:rPr>
        <w:t xml:space="preserve">（信息来源：新华日报7月17日《用心服务聚力同行,走好专精特新发展之路》  https://xh.xhby.net/pad/con/202607/17/content_1573153.html）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2026-07-17T00:15:29.296Z</dcterms:created>
  <dcterms:modified xsi:type="dcterms:W3CDTF">2026-07-17T00:15:29.296Z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