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560" w:lineRule="exact"/>
        <w:jc w:val="center"/>
      </w:pPr>
      <w:r>
        <w:rPr>
          <w:rFonts w:ascii="黑体" w:eastAsia="黑体" w:hAnsi="黑体"/>
          <w:b/>
          <w:bCs/>
          <w:sz w:val="32"/>
          <w:szCs w:val="32"/>
        </w:rPr>
        <w:t xml:space="preserve">媒体信息摘报（2026年8月7日）</w:t>
      </w:r>
    </w:p>
    <w:p>
      <w:pPr>
        <w:spacing w:after="80" w:before="200" w:line="560" w:lineRule="exact"/>
      </w:pPr>
      <w:r>
        <w:rPr>
          <w:rFonts w:ascii="仿宋_GB2312" w:eastAsia="仿宋_GB2312" w:hAnsi="仿宋_GB2312"/>
          <w:b/>
          <w:bCs/>
          <w:sz w:val="32"/>
          <w:szCs w:val="32"/>
        </w:rPr>
        <w:t xml:space="preserve">一、打造"粤海粮仓"万亿级产业集群（南方日报）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广东以更有力举措汇聚更强大力量，加快建设现代化海洋牧场全产业链，打造万亿级产业集群，主要举措如下：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一是构建完整产业链条。培育形成苗种繁育、装备制造、精深加工、设施养殖、冷链物流、品牌销售完整链条，推动"大渔带小渔"带动中小企业、渔民专业合作社及渔民参与深远海养殖，把沿海各地沉睡资源盘活为发展新质生产力的优良资产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二是攻坚种业与装备。汇聚全国63个育种团队对41个适养品种攻关，突破黄金鲹、章红鱼等人工繁育技术；实施核心装备与技术创新平台项目，通过"赛马制"汇聚21个研发团队攻关，规范重力式网箱建造，2026年新建重力式网箱920个、桁架类网箱5个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三是搭建国企对接平台。组织省港航集团、省能源集团、省盐业集团等10家省属国企开展"2026年投资现代化海洋牧场国企专场招商活动"，成立省级开发主体广东海发集团，在湛江、汕尾、汕头、揭阳设子公司；引导沿海各市和省属国企成立18家专业一级开发主体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四是完善金融保险保障。印发《广东省现代化海洋牧场设施设备险实施方案》，将设施设备纳入政策性保险，各级财政补贴保费75%、养殖主体自担25%；养殖险自担比例由40%降至20%。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五是编制产业"一张图"。融合海底地形、自然保护地、生态红线、航道锚地等数据，构建海域分级评价模型，识别适宜投放的适养海域，为用海选址提供技术支撑，目标形成国企千亿投资、培育万亿级产业集群。</w:t>
      </w:r>
    </w:p>
    <w:p>
      <w:pPr>
        <w:spacing w:after="240" w:before="0" w:line="560" w:lineRule="exact"/>
        <w:jc w:val="both"/>
      </w:pPr>
      <w:r>
        <w:rPr>
          <w:rFonts w:ascii="仿宋_GB2312" w:eastAsia="仿宋_GB2312" w:hAnsi="仿宋_GB2312"/>
          <w:sz w:val="32"/>
          <w:szCs w:val="32"/>
        </w:rPr>
        <w:t xml:space="preserve">（信息来源：南方日报8月7日《打造"粤海粮仓"万亿级产业集群》 https://epaper.nfnews.com/nfdaily/html/202608/07/content_10178088.html）</w:t>
      </w:r>
    </w:p>
    <w:p>
      <w:pPr>
        <w:spacing w:after="80" w:before="200" w:line="560" w:lineRule="exact"/>
      </w:pPr>
      <w:r>
        <w:rPr>
          <w:rFonts w:ascii="仿宋_GB2312" w:eastAsia="仿宋_GB2312" w:hAnsi="仿宋_GB2312"/>
          <w:b/>
          <w:bCs/>
          <w:sz w:val="32"/>
          <w:szCs w:val="32"/>
        </w:rPr>
        <w:t xml:space="preserve">二、山水间练就硬核筋骨 吴中产创融合驱动新质生产力（新华日报）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苏州吴中区以产创融合驱动新质生产力跃升，在高质量发展赛道不断实现新跨越，主要举措如下：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一是壮大机器人产业集群。深耕"机器人+人工智能"核心赛道，构建涵盖核心零部件、本体制造、系统集成与终端应用的完整产业链，集聚雷达、传感器、核心电机等上下游企业1600余家，规上产值超千亿元，供应链半径仅10公里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二是搭平台拓市场促出海。7月2日举办中欧机器人产业合作对接会，邀请英、西、德、匈、意等国企业面对面碰撞合作机遇；深入开展"百团千企"出海行动，推动外贸提质增效、稳量增量。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三是系统化招商布局。五年累计签约10亿元以上项目超百个，新增跨国公司地区总部和功能性机构9家，实际使用外资18.5亿美元；近期捷螺智能、德建联半导体、捷智联动机器人等总部项目密集落子。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四是建设具身智能创新高地。明确建设具身智谷，推动核心零部件、机器人本体、智能集成装备及人工智能算法协同壮大；吴中高新区获批省级高新区，哈工大苏州高等研究院、中国信通院江苏分院、具身智能"一室一院五中心"等高能级平台落地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五是开放全域智能场景。推进全域智能场景应用开放三年行动方案，目标打造工业制造、文商体旅、特种作业等8大领域1000个应用场景；太湖算力中心上线4500P算力，建成多项备案大模型与优质数据集。</w:t>
      </w:r>
    </w:p>
    <w:p>
      <w:pPr>
        <w:spacing w:after="240" w:before="0" w:line="560" w:lineRule="exact"/>
        <w:jc w:val="both"/>
      </w:pPr>
      <w:r>
        <w:rPr>
          <w:rFonts w:ascii="仿宋_GB2312" w:eastAsia="仿宋_GB2312" w:hAnsi="仿宋_GB2312"/>
          <w:sz w:val="32"/>
          <w:szCs w:val="32"/>
        </w:rPr>
        <w:t xml:space="preserve">（信息来源：新华日报8月7日《山水间练就硬核筋骨》 https://xh.xhby.net/pad/con/202608/07/content_1579063.html）</w:t>
      </w:r>
    </w:p>
    <w:p>
      <w:pPr>
        <w:spacing w:after="80" w:before="200" w:line="560" w:lineRule="exact"/>
      </w:pPr>
      <w:r>
        <w:rPr>
          <w:rFonts w:ascii="仿宋_GB2312" w:eastAsia="仿宋_GB2312" w:hAnsi="仿宋_GB2312"/>
          <w:b/>
          <w:bCs/>
          <w:sz w:val="32"/>
          <w:szCs w:val="32"/>
        </w:rPr>
        <w:t xml:space="preserve">三、享补贴智能机器人产品陆续上架（北京青年报）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北京将具身智能机器人纳入消费品以旧换新补贴范围，智能消费新场景持续拓宽，主要举措如下：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一是扩容补贴品类。北京市商务局将具身智能机器人（含陪伴类机器人、机器狗、外骨骼机器人、养老照护机器人）及智能门锁、智能摄像头、智能扫地机、智能马桶、数码相机、智能耳机、全屋智能主机、智能床、智能电动轮椅等10类智能家居产品纳入补贴范围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二是明确补贴标准。采用"立减补贴"模式，补贴为产品扣除各环节优惠后最终销售价格的15%，每人每类可补贴1件，每件补贴不超过1500元，自公告发布之日起实施至补贴资金使用完毕截止。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三是规范产品条件。新增产品须具备智能功能、具有统一国标商品编码，其中有能效或水效标识的须为1级能效或水效标准。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四是线上线下同享。消费者通过"京通"移动端完成实人认证，进入"智能家居补贴"专区领取资格券码于支付环节享受立减；淘宝天猫、京东、美团、抖音电商等20余家电商平台已设智能家居专区，线下体验店部分商品补贴后相当于六折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五是拓展试点场景。8月5日进一步扩容，将全屋智能系统、适老化智能监护设备、康养智能终端纳入试点，拓宽智能消费覆盖场景。</w:t>
      </w:r>
    </w:p>
    <w:p>
      <w:pPr>
        <w:spacing w:after="240" w:before="0" w:line="560" w:lineRule="exact"/>
        <w:jc w:val="both"/>
      </w:pPr>
      <w:r>
        <w:rPr>
          <w:rFonts w:ascii="仿宋_GB2312" w:eastAsia="仿宋_GB2312" w:hAnsi="仿宋_GB2312"/>
          <w:sz w:val="32"/>
          <w:szCs w:val="32"/>
        </w:rPr>
        <w:t xml:space="preserve">（信息来源：北京青年报8月7日《享补贴智能机器人产品陆续上架》 https://new.qq.com/rain/a/20260807A03QU200?refer=cp_1009）</w:t>
      </w:r>
    </w:p>
    <w:p>
      <w:pPr>
        <w:spacing w:after="80" w:before="200" w:line="560" w:lineRule="exact"/>
      </w:pPr>
      <w:r>
        <w:rPr>
          <w:rFonts w:ascii="仿宋_GB2312" w:eastAsia="仿宋_GB2312" w:hAnsi="仿宋_GB2312"/>
          <w:b/>
          <w:bCs/>
          <w:sz w:val="32"/>
          <w:szCs w:val="32"/>
        </w:rPr>
        <w:t xml:space="preserve">四、来得畅，玩得嗨，湖北文旅促消费特色线路吸引八方游客（楚天都市报·极目新闻）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湖北依托西十高铁开通机遇，紧扣"引客入鄂、留客兴鄂"主线推出三季度文旅促消费举措，主要举措如下：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一是发布四大主题产品。围绕避暑亲水、研学旅游、红色旅游、夜游经济推出"避暑、亲水、研学、红色"4个主题产品；避暑主题遴选"湖北十大热门避暑地"配套3条精品线路，亲水主题推出5条专题游线，研学主题联动长江沿线省份推出3条跨省研学线路，红色主题推出6条线路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二是借力西十高铁引流。组织专班赴西安、兰州开展文旅专场推介；十堰开通高铁站至武当山景区免费接驳专线，武当山景交车票价降15%、琼台索道降43%，凭5日内抵堰高铁票享进山门票5折；与西安、商洛、安康、铜川签订客源互送协议，14家十堰景区纳入关中平原城市群旅游年卡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三是打造七大夜游矩阵。整合水陆资源形成都市潮流电音夜游、水路精品水上夜游、山水度假区清凉夜游、古城国风实景夜游、滨水烟火市集夜游、亲子童趣夜游、鄂西土家民俗夜游七类夜间消费供给，多数持续至8月底、水上夜游延至中秋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四是激活演艺市场。8至9月全省营业性演出2850余场、大型演唱会超20场；举办地方戏曲艺术展演、黄梅戏艺术节，持演出票在合作商圈、餐饮、景区、酒店享专属折扣。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五是创新融合场景与保障。举办全省"文旅"资源场景对接活动，盘活闲置厂房、滨水空间、乡村存量资源推出一体化融合产品与优惠套票；组织重点景区、旅行社赴上海、杭州、长沙办"凉交会"拓展省外客源；全面排查汛期安全隐患。</w:t>
      </w:r>
    </w:p>
    <w:p>
      <w:pPr>
        <w:spacing w:after="240" w:before="0" w:line="560" w:lineRule="exact"/>
        <w:jc w:val="both"/>
      </w:pPr>
      <w:r>
        <w:rPr>
          <w:rFonts w:ascii="仿宋_GB2312" w:eastAsia="仿宋_GB2312" w:hAnsi="仿宋_GB2312"/>
          <w:sz w:val="32"/>
          <w:szCs w:val="32"/>
        </w:rPr>
        <w:t xml:space="preserve">（信息来源：楚天都市报·极目新闻8月7日《来得畅，玩得嗨，湖北文旅促消费特色线路吸引八方游客》 https://www.ctdsb.net/c1722_202608/2822288.html）</w:t>
      </w:r>
    </w:p>
    <w:p>
      <w:pPr>
        <w:spacing w:after="80" w:before="200" w:line="560" w:lineRule="exact"/>
      </w:pPr>
      <w:r>
        <w:rPr>
          <w:rFonts w:ascii="仿宋_GB2312" w:eastAsia="仿宋_GB2312" w:hAnsi="仿宋_GB2312"/>
          <w:b/>
          <w:bCs/>
          <w:sz w:val="32"/>
          <w:szCs w:val="32"/>
        </w:rPr>
        <w:t xml:space="preserve">五、专利产业化助推山东新兴产业发展（大众日报）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山东围绕现代化产业体系建设，把专利产业化作为知识产权赋能高质量发展的主攻方向，主要举措如下：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一是建设高价值专利培育中心。以产业化需求为导向，首批遴选山东大学、中国海洋大学、齐鲁工业大学等15家高校院所建立高价值专利培育中心，推动在研发初始阶段即考虑市场需求、产业痛点和转化前景，破解专利产业化堵点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二是组建重点产业专利池。以产业链为单元，由链主企业牵头，把上下游企业、高校院所、科研机构优质专利集中，通过"池内"交叉许可、"池外"统一许可降低交易和推广成本；目前全省建设重点产业专利池50个，覆盖企业、高校、科研院所1178家，吸纳专利4.83万件，近1.6万件通过专利池转化实施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三是推进专利预审便利化。围绕全省12个重点产业布局8家国家级知识产权保护中心，聚焦海洋、新一代信息技术、高端装备制造、生物医药等产业创新实施专利预审便利化改革，全面打通专利快速授权绿色通道，4.1万余件发明专利获快速授权，审查周期较普通渠道压缩84%。</w:t>
      </w:r>
    </w:p>
    <w:p>
      <w:pPr>
        <w:spacing w:after="80" w:before="0" w:line="560" w:lineRule="exact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四是构建资源对接机制。建立省级专利转化资源库，运用人工智能构建专利智能匹配模型，按产业领域精准推送企业需求端；推广"先使用后付费"定向许可模式，开展"一月一链"投融资路演常态化对接。</w:t>
      </w:r>
    </w:p>
    <w:p>
      <w:pPr>
        <w:spacing w:after="240" w:before="0" w:line="560" w:lineRule="exact"/>
        <w:jc w:val="both"/>
      </w:pPr>
      <w:r>
        <w:rPr>
          <w:rFonts w:ascii="仿宋_GB2312" w:eastAsia="仿宋_GB2312" w:hAnsi="仿宋_GB2312"/>
          <w:sz w:val="32"/>
          <w:szCs w:val="32"/>
        </w:rPr>
        <w:t xml:space="preserve">（信息来源：大众日报8月7日《专利产业化助推山东新兴产业发展》 https://new.qq.com/rain/a/20260807A03X3N00?refer=cp_1009）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2026-08-07T00:10:36.499Z</dcterms:created>
  <dcterms:modified xsi:type="dcterms:W3CDTF">2026-08-07T00:10:36.500Z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