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560" w:lineRule="exact" w:after="240"/>
        <w:jc w:val="center"/>
      </w:pPr>
      <w:r>
        <w:rPr>
          <w:rFonts w:ascii="黑体" w:hAnsi="黑体" w:eastAsia="黑体"/>
          <w:b/>
          <w:sz w:val="32"/>
        </w:rPr>
        <w:t>媒体信息摘报</w:t>
      </w:r>
    </w:p>
    <w:p>
      <w:pPr>
        <w:spacing w:line="560" w:lineRule="exact" w:after="240"/>
        <w:jc w:val="center"/>
      </w:pPr>
      <w:r>
        <w:rPr>
          <w:rFonts w:ascii="黑体" w:hAnsi="黑体" w:eastAsia="黑体"/>
          <w:b/>
          <w:sz w:val="32"/>
        </w:rPr>
        <w:t>（2026年10月8日）</w:t>
      </w:r>
    </w:p>
    <w:p>
      <w:pPr>
        <w:spacing w:line="560" w:lineRule="exact" w:before="200" w:after="120"/>
      </w:pPr>
      <w:r>
        <w:rPr>
          <w:rFonts w:ascii="黑体" w:hAnsi="黑体" w:eastAsia="黑体"/>
          <w:b/>
          <w:sz w:val="32"/>
        </w:rPr>
        <w:t>一、在这里，"土特产"做成大产业</w:t>
      </w:r>
    </w:p>
    <w:p>
      <w:pPr>
        <w:spacing w:line="560" w:lineRule="exact" w:after="80"/>
        <w:ind w:firstLine="640"/>
      </w:pPr>
      <w:r>
        <w:rPr>
          <w:rFonts w:ascii="仿宋_GB2312" w:hAnsi="仿宋_GB2312" w:eastAsia="仿宋_GB2312"/>
          <w:b w:val="0"/>
          <w:sz w:val="32"/>
        </w:rPr>
        <w:t>江苏推动乡村土特产向全产业链延伸，以电商、科技、链式协同三条路径把"土特产"做成富民产业。</w:t>
      </w:r>
    </w:p>
    <w:p>
      <w:pPr>
        <w:spacing w:line="560" w:lineRule="exact" w:after="80"/>
        <w:ind w:firstLine="640"/>
      </w:pPr>
      <w:r>
        <w:rPr>
          <w:rFonts w:ascii="仿宋_GB2312" w:hAnsi="仿宋_GB2312" w:eastAsia="仿宋_GB2312"/>
          <w:b w:val="0"/>
          <w:sz w:val="32"/>
        </w:rPr>
        <w:t>一是电商打通出村通道。连云港赣榆海头镇发展海鲜直播，活跃直播账号6000余个、主播3000余人，日均发货20万单，线上年交易额突破100亿元；布局重庆、乌鲁木齐、太原三大海鲜前置仓，使乌鲁木齐成为进入中亚市场的枢纽。沭阳周圈村1200余户从事盆景苗木，800余人搞直播销售，从"卖单品"转向"卖场景、卖设计、卖服务"。</w:t>
      </w:r>
    </w:p>
    <w:p>
      <w:pPr>
        <w:spacing w:line="560" w:lineRule="exact" w:after="80"/>
        <w:ind w:firstLine="640"/>
      </w:pPr>
      <w:r>
        <w:rPr>
          <w:rFonts w:ascii="仿宋_GB2312" w:hAnsi="仿宋_GB2312" w:eastAsia="仿宋_GB2312"/>
          <w:b w:val="0"/>
          <w:sz w:val="32"/>
        </w:rPr>
        <w:t>二是科技重塑产业根基。盱眙攻克种业"芯片"，"盱眙1号"2024年通过国家审定，为全国首个国家级小龙虾新品种，50天养殖重量提高18%以上；龙虾超级工厂占地369亩、总投资约12.5亿元，液氮锁鲜使保鲜期延至18个月，全面投产后预计年产龙虾制品10万吨、调料5万吨。赣榆三文鱼AI数码渔桶水体循环利用率突破97%，实时监测12项水质指标，实现"一人管一车间"。</w:t>
      </w:r>
    </w:p>
    <w:p>
      <w:pPr>
        <w:spacing w:line="560" w:lineRule="exact" w:after="80"/>
        <w:ind w:firstLine="640"/>
      </w:pPr>
      <w:r>
        <w:rPr>
          <w:rFonts w:ascii="仿宋_GB2312" w:hAnsi="仿宋_GB2312" w:eastAsia="仿宋_GB2312"/>
          <w:b w:val="0"/>
          <w:sz w:val="32"/>
        </w:rPr>
        <w:t>三是链式共生壮大集群。睢宁沙集电商家居2025年网络零售额达200亿元，构建研发设计、生产制造、网络销售、物流仓储、配套服务完整产业链；淮海公路港日处理货量约3200吨、连通全国80个主要城市，降低运输成本超15%；落地9610、9710、9810三类跨境电商出口模式，2025年跨境出口量、出口额分别增长60%、44%。同步打造"苏农优品"省域公用品牌矩阵。</w:t>
      </w:r>
    </w:p>
    <w:p>
      <w:pPr>
        <w:spacing w:line="560" w:lineRule="exact" w:before="80" w:after="200"/>
      </w:pPr>
      <w:r>
        <w:rPr>
          <w:rFonts w:ascii="仿宋_GB2312" w:hAnsi="仿宋_GB2312" w:eastAsia="仿宋_GB2312"/>
          <w:b w:val="0"/>
          <w:sz w:val="32"/>
        </w:rPr>
        <w:t>（信息来源：新华日报10月8日《在这里，"土特产"做成大产业》  https://finance.sina.com.cn/jjxw/2026-10-08/doc-iniumytv4164260.shtml）</w:t>
      </w:r>
    </w:p>
    <w:p>
      <w:pPr>
        <w:spacing w:line="560" w:lineRule="exact" w:before="200" w:after="120"/>
      </w:pPr>
      <w:r>
        <w:rPr>
          <w:rFonts w:ascii="黑体" w:hAnsi="黑体" w:eastAsia="黑体"/>
          <w:b/>
          <w:sz w:val="32"/>
        </w:rPr>
        <w:t>二、武汉市出台推进科技创新和产业创新深度融合系列措施</w:t>
      </w:r>
    </w:p>
    <w:p>
      <w:pPr>
        <w:spacing w:line="560" w:lineRule="exact" w:after="80"/>
        <w:ind w:firstLine="640"/>
      </w:pPr>
      <w:r>
        <w:rPr>
          <w:rFonts w:ascii="仿宋_GB2312" w:hAnsi="仿宋_GB2312" w:eastAsia="仿宋_GB2312"/>
          <w:b w:val="0"/>
          <w:sz w:val="32"/>
        </w:rPr>
        <w:t>武汉市以"1个总体通知+6个专项措施"体系，自2026年10月8日起施行，围绕成果转化、人才、数据、AI新赛道、科创金融、应用场景六大维度精准施策。</w:t>
      </w:r>
    </w:p>
    <w:p>
      <w:pPr>
        <w:spacing w:line="560" w:lineRule="exact" w:after="80"/>
        <w:ind w:firstLine="640"/>
      </w:pPr>
      <w:r>
        <w:rPr>
          <w:rFonts w:ascii="仿宋_GB2312" w:hAnsi="仿宋_GB2312" w:eastAsia="仿宋_GB2312"/>
          <w:b w:val="0"/>
          <w:sz w:val="32"/>
        </w:rPr>
        <w:t>一是建设中试平台体系。聚焦"965"现代化产业体系布局中试平台、组建产业领域中试联合体；首年安排2000万元"拨改投"资金，引导设立首期规模不低于5000万元的市级中试基金；中试项目产业用地弹性年期出让最长20年，探索"沙盒监管""触发式监管"。</w:t>
      </w:r>
    </w:p>
    <w:p>
      <w:pPr>
        <w:spacing w:line="560" w:lineRule="exact" w:after="80"/>
        <w:ind w:firstLine="640"/>
      </w:pPr>
      <w:r>
        <w:rPr>
          <w:rFonts w:ascii="仿宋_GB2312" w:hAnsi="仿宋_GB2312" w:eastAsia="仿宋_GB2312"/>
          <w:b w:val="0"/>
          <w:sz w:val="32"/>
        </w:rPr>
        <w:t>二是建强技术经理人队伍。支持高校设技术转移微专业、申报技术转移硕士点；将技术经理人纳入"武汉英才"计划；对服务机构按绩效给予每年最高300万元专项奖励（个人比例不低于50%）；为成果转化项目配备技术经理人全程陪跑。</w:t>
      </w:r>
    </w:p>
    <w:p>
      <w:pPr>
        <w:spacing w:line="560" w:lineRule="exact" w:after="80"/>
        <w:ind w:firstLine="640"/>
      </w:pPr>
      <w:r>
        <w:rPr>
          <w:rFonts w:ascii="仿宋_GB2312" w:hAnsi="仿宋_GB2312" w:eastAsia="仿宋_GB2312"/>
          <w:b w:val="0"/>
          <w:sz w:val="32"/>
        </w:rPr>
        <w:t>三是支持高质量数据集建设。按项目实际研发投入给予最高200万元奖励；数据标注企业最高50万元奖励；推行"首席数据官"制度，探索发放算力券降低治数用数成本。</w:t>
      </w:r>
    </w:p>
    <w:p>
      <w:pPr>
        <w:spacing w:line="560" w:lineRule="exact" w:after="80"/>
        <w:ind w:firstLine="640"/>
      </w:pPr>
      <w:r>
        <w:rPr>
          <w:rFonts w:ascii="仿宋_GB2312" w:hAnsi="仿宋_GB2312" w:eastAsia="仿宋_GB2312"/>
          <w:b w:val="0"/>
          <w:sz w:val="32"/>
        </w:rPr>
        <w:t>四是支持智能体与智能终端。研发应用给予最高300万元算力支持，终端创新最高100万元，组建"模数共振"创新联合体最高500万元；企业"人工智能+技改"单个项目最高1000万元奖励；孵化创业团队项目最高500万元股权投资。</w:t>
      </w:r>
    </w:p>
    <w:p>
      <w:pPr>
        <w:spacing w:line="560" w:lineRule="exact" w:after="80"/>
        <w:ind w:firstLine="640"/>
      </w:pPr>
      <w:r>
        <w:rPr>
          <w:rFonts w:ascii="仿宋_GB2312" w:hAnsi="仿宋_GB2312" w:eastAsia="仿宋_GB2312"/>
          <w:b w:val="0"/>
          <w:sz w:val="32"/>
        </w:rPr>
        <w:t>五是壮大科创金融与开放场景。到2028年力争注册基金1500支以上、规模3000亿元，种子及天使基金直投允许100%亏损；每年开放场景机会、发布场景能力各不少于500个，举办场景对接活动不少于100场，标志性应用场景最高500万元配套。</w:t>
      </w:r>
    </w:p>
    <w:p>
      <w:pPr>
        <w:spacing w:line="560" w:lineRule="exact" w:before="80" w:after="200"/>
      </w:pPr>
      <w:r>
        <w:rPr>
          <w:rFonts w:ascii="仿宋_GB2312" w:hAnsi="仿宋_GB2312" w:eastAsia="仿宋_GB2312"/>
          <w:b w:val="0"/>
          <w:sz w:val="32"/>
        </w:rPr>
        <w:t>（信息来源：湖北日报10月8日《武汉市出台推进科技创新和产业创新深度融合系列措施》  https://news.hubeidaily.net/pc/c_5953702.html）</w:t>
      </w:r>
    </w:p>
    <w:p>
      <w:pPr>
        <w:spacing w:line="560" w:lineRule="exact" w:before="200" w:after="120"/>
      </w:pPr>
      <w:r>
        <w:rPr>
          <w:rFonts w:ascii="黑体" w:hAnsi="黑体" w:eastAsia="黑体"/>
          <w:b/>
          <w:sz w:val="32"/>
        </w:rPr>
        <w:t>三、制造"湘"当潮丨握牢创新主动权 让成果落地生花</w:t>
      </w:r>
    </w:p>
    <w:p>
      <w:pPr>
        <w:spacing w:line="560" w:lineRule="exact" w:after="80"/>
        <w:ind w:firstLine="640"/>
      </w:pPr>
      <w:r>
        <w:rPr>
          <w:rFonts w:ascii="仿宋_GB2312" w:hAnsi="仿宋_GB2312" w:eastAsia="仿宋_GB2312"/>
          <w:b w:val="0"/>
          <w:sz w:val="32"/>
        </w:rPr>
        <w:t>湖南沿"技术攻关、企业主导、成果转化"路径增强先进制造业动力，具体举措如下。</w:t>
      </w:r>
    </w:p>
    <w:p>
      <w:pPr>
        <w:spacing w:line="560" w:lineRule="exact" w:after="80"/>
        <w:ind w:firstLine="640"/>
      </w:pPr>
      <w:r>
        <w:rPr>
          <w:rFonts w:ascii="仿宋_GB2312" w:hAnsi="仿宋_GB2312" w:eastAsia="仿宋_GB2312"/>
          <w:b w:val="0"/>
          <w:sz w:val="32"/>
        </w:rPr>
        <w:t>一是实施十大技术攻关项目。连续6年深耕，累计突破216项原创性、引领性关键技术，斩获60项国内外"首字""最字"成果；2026年布局跨域混算关键技术、"非圆"岩石隧道全断面智能掘进装备等攻关，服务生物医药、水电、矿山等重大需求。</w:t>
      </w:r>
    </w:p>
    <w:p>
      <w:pPr>
        <w:spacing w:line="560" w:lineRule="exact" w:after="80"/>
        <w:ind w:firstLine="640"/>
      </w:pPr>
      <w:r>
        <w:rPr>
          <w:rFonts w:ascii="仿宋_GB2312" w:hAnsi="仿宋_GB2312" w:eastAsia="仿宋_GB2312"/>
          <w:b w:val="0"/>
          <w:sz w:val="32"/>
        </w:rPr>
        <w:t>二是强化企业创新主体地位。出台"企业服务年""科创益企"十条措施，明确企业牵头研发攻关类项目占比不低于50%，年度研发投入增量最高可获1000万元补助。</w:t>
      </w:r>
    </w:p>
    <w:p>
      <w:pPr>
        <w:spacing w:line="560" w:lineRule="exact" w:after="80"/>
        <w:ind w:firstLine="640"/>
      </w:pPr>
      <w:r>
        <w:rPr>
          <w:rFonts w:ascii="仿宋_GB2312" w:hAnsi="仿宋_GB2312" w:eastAsia="仿宋_GB2312"/>
          <w:b w:val="0"/>
          <w:sz w:val="32"/>
        </w:rPr>
        <w:t>三是错位发展智能机器人。推行"先专用后通用"，优先发展工程机械、矿山等领域专用机器人，再向通用智能机器人迈进；长沙聚焦本体和算法，株洲、湘潭、衡阳发展电机电控和精密关节，岳阳主攻伺服电机，娄底做强精密铸锻零部件。</w:t>
      </w:r>
    </w:p>
    <w:p>
      <w:pPr>
        <w:spacing w:line="560" w:lineRule="exact" w:after="80"/>
        <w:ind w:firstLine="640"/>
      </w:pPr>
      <w:r>
        <w:rPr>
          <w:rFonts w:ascii="仿宋_GB2312" w:hAnsi="仿宋_GB2312" w:eastAsia="仿宋_GB2312"/>
          <w:b w:val="0"/>
          <w:sz w:val="32"/>
        </w:rPr>
        <w:t>四是打通成果转化链条。出台"加快高校成果转化二十条"，单设技术经纪专业职称；布局10家概念验证中心、总投入3000万元，建设55家省级中试基地；组建近百人技术经理人队伍，转化合同总金额超9亿元。</w:t>
      </w:r>
    </w:p>
    <w:p>
      <w:pPr>
        <w:spacing w:line="560" w:lineRule="exact" w:after="80"/>
        <w:ind w:firstLine="640"/>
      </w:pPr>
      <w:r>
        <w:rPr>
          <w:rFonts w:ascii="仿宋_GB2312" w:hAnsi="仿宋_GB2312" w:eastAsia="仿宋_GB2312"/>
          <w:b w:val="0"/>
          <w:sz w:val="32"/>
        </w:rPr>
        <w:t>五是"揭榜挂帅"攻坚民生产业。针对烟花爆竹安全与环保难题，通过重大科技攻关"揭榜挂帅"加快形成可复制、可推广的新型烟花产品、工艺与生产装备，已研制氟聚物基新火药，告别刺鼻硫磺味与漫天烟尘。</w:t>
      </w:r>
    </w:p>
    <w:p>
      <w:pPr>
        <w:spacing w:line="560" w:lineRule="exact" w:before="80" w:after="200"/>
      </w:pPr>
      <w:r>
        <w:rPr>
          <w:rFonts w:ascii="仿宋_GB2312" w:hAnsi="仿宋_GB2312" w:eastAsia="仿宋_GB2312"/>
          <w:b w:val="0"/>
          <w:sz w:val="32"/>
        </w:rPr>
        <w:t>（信息来源：湖南日报10月8日《制造"湘"当潮丨握牢创新主动权 让成果落地生花》  https://www.toutiao.com/article/7694071516916384302/）</w:t>
      </w:r>
    </w:p>
    <w:p>
      <w:pPr>
        <w:spacing w:line="560" w:lineRule="exact" w:before="200" w:after="120"/>
      </w:pPr>
      <w:r>
        <w:rPr>
          <w:rFonts w:ascii="黑体" w:hAnsi="黑体" w:eastAsia="黑体"/>
          <w:b/>
          <w:sz w:val="32"/>
        </w:rPr>
        <w:t>四、国庆假期全省线下消费2.5亿笔近870亿元</w:t>
      </w:r>
    </w:p>
    <w:p>
      <w:pPr>
        <w:spacing w:line="560" w:lineRule="exact" w:after="80"/>
        <w:ind w:firstLine="640"/>
      </w:pPr>
      <w:r>
        <w:rPr>
          <w:rFonts w:ascii="仿宋_GB2312" w:hAnsi="仿宋_GB2312" w:eastAsia="仿宋_GB2312"/>
          <w:b w:val="0"/>
          <w:sz w:val="32"/>
        </w:rPr>
        <w:t>四川以第五届中国（四川）国际熊猫消费节为总牵引，推出上千场促消费活动，具体举措如下。</w:t>
      </w:r>
    </w:p>
    <w:p>
      <w:pPr>
        <w:spacing w:line="560" w:lineRule="exact" w:after="80"/>
        <w:ind w:firstLine="640"/>
      </w:pPr>
      <w:r>
        <w:rPr>
          <w:rFonts w:ascii="仿宋_GB2312" w:hAnsi="仿宋_GB2312" w:eastAsia="仿宋_GB2312"/>
          <w:b w:val="0"/>
          <w:sz w:val="32"/>
        </w:rPr>
        <w:t>一是构建"1316N"活动框架。开展"乐享天府"服务消费季、"票根惠民"、"优品拓展·城乡扩需"三大主题活动，联动成渝双城消费促进活动暨金秋消费季等16个标志性IP活动。</w:t>
      </w:r>
    </w:p>
    <w:p>
      <w:pPr>
        <w:spacing w:line="560" w:lineRule="exact" w:after="80"/>
        <w:ind w:firstLine="640"/>
      </w:pPr>
      <w:r>
        <w:rPr>
          <w:rFonts w:ascii="仿宋_GB2312" w:hAnsi="仿宋_GB2312" w:eastAsia="仿宋_GB2312"/>
          <w:b w:val="0"/>
          <w:sz w:val="32"/>
        </w:rPr>
        <w:t>二是丰富商圈与沉浸式场景。成都万象城推出"比奇堡假日"主题展及超200款周边；宜宾打造"日间沉浸式体验+夜间光影夜游"；成都市11个重点商圈假期营收超29亿元，215条特色商业街营收超58亿元。绵阳开展《登陆月球》主题展、航天科普嘉年华；眉山三苏祠上线MR沉浸式项目、启用智能讲解机器人"苏小芯"。</w:t>
      </w:r>
    </w:p>
    <w:p>
      <w:pPr>
        <w:spacing w:line="560" w:lineRule="exact" w:after="80"/>
        <w:ind w:firstLine="640"/>
      </w:pPr>
      <w:r>
        <w:rPr>
          <w:rFonts w:ascii="仿宋_GB2312" w:hAnsi="仿宋_GB2312" w:eastAsia="仿宋_GB2312"/>
          <w:b w:val="0"/>
          <w:sz w:val="32"/>
        </w:rPr>
        <w:t>三是打好政策"组合拳"。投放"乐享天府"服务消费季餐饮消费券，"票根惠民"活动吸引超3000家商户、游客上传票根超1万张；创新票根经济链条，游客凭机票、高铁票、景区门票享餐饮住宿等折扣，打通"交通引流—景区留客—消费增值"全链条；泸州发16万份"泸州有礼"大礼包，雅安推"1分钱坐高铁"等29项文旅商贸优惠。</w:t>
      </w:r>
    </w:p>
    <w:p>
      <w:pPr>
        <w:spacing w:line="560" w:lineRule="exact" w:after="80"/>
        <w:ind w:firstLine="640"/>
      </w:pPr>
      <w:r>
        <w:rPr>
          <w:rFonts w:ascii="仿宋_GB2312" w:hAnsi="仿宋_GB2312" w:eastAsia="仿宋_GB2312"/>
          <w:b w:val="0"/>
          <w:sz w:val="32"/>
        </w:rPr>
        <w:t>四是以旧换新扩围加码。国庆首日启动自主品类补贴，新增10类、最高补贴1500元，假期申请42.8万件；智能吸油烟机、清洁机器人、净水器、洗碗机最为畅销。</w:t>
      </w:r>
    </w:p>
    <w:p>
      <w:pPr>
        <w:spacing w:line="560" w:lineRule="exact" w:after="80"/>
        <w:ind w:firstLine="640"/>
      </w:pPr>
      <w:r>
        <w:rPr>
          <w:rFonts w:ascii="仿宋_GB2312" w:hAnsi="仿宋_GB2312" w:eastAsia="仿宋_GB2312"/>
          <w:b w:val="0"/>
          <w:sz w:val="32"/>
        </w:rPr>
        <w:t>五是建设消费新场景。全省160个"蜀里安逸"消费新场景假期拉动消费超220亿元；智能穿戴设备销售额同比增超1倍，有机食品增超20%，户外运动装备增超35%。</w:t>
      </w:r>
    </w:p>
    <w:p>
      <w:pPr>
        <w:spacing w:line="560" w:lineRule="exact" w:before="80" w:after="200"/>
      </w:pPr>
      <w:r>
        <w:rPr>
          <w:rFonts w:ascii="仿宋_GB2312" w:hAnsi="仿宋_GB2312" w:eastAsia="仿宋_GB2312"/>
          <w:b w:val="0"/>
          <w:sz w:val="32"/>
        </w:rPr>
        <w:t>（信息来源：四川日报10月8日《国庆假期全省线下消费2.5亿笔近870亿元》  https://epaper.scdaily.cn/shtml/scrb/20261008/1091270.html）</w:t>
      </w:r>
    </w:p>
    <w:p>
      <w:pPr>
        <w:spacing w:line="560" w:lineRule="exact" w:before="200" w:after="120"/>
      </w:pPr>
      <w:r>
        <w:rPr>
          <w:rFonts w:ascii="黑体" w:hAnsi="黑体" w:eastAsia="黑体"/>
          <w:b/>
          <w:sz w:val="32"/>
        </w:rPr>
        <w:t>五、接住假日流量 延长消费链条</w:t>
      </w:r>
    </w:p>
    <w:p>
      <w:pPr>
        <w:spacing w:line="560" w:lineRule="exact" w:after="80"/>
        <w:ind w:firstLine="640"/>
      </w:pPr>
      <w:r>
        <w:rPr>
          <w:rFonts w:ascii="仿宋_GB2312" w:hAnsi="仿宋_GB2312" w:eastAsia="仿宋_GB2312"/>
          <w:b w:val="0"/>
          <w:sz w:val="32"/>
        </w:rPr>
        <w:t>贵州以文旅体融合接住假日流量、延伸消费链条，具体举措如下。</w:t>
      </w:r>
    </w:p>
    <w:p>
      <w:pPr>
        <w:spacing w:line="560" w:lineRule="exact" w:after="80"/>
        <w:ind w:firstLine="640"/>
      </w:pPr>
      <w:r>
        <w:rPr>
          <w:rFonts w:ascii="仿宋_GB2312" w:hAnsi="仿宋_GB2312" w:eastAsia="仿宋_GB2312"/>
          <w:b w:val="0"/>
          <w:sz w:val="32"/>
        </w:rPr>
        <w:t>一是做大"村字号"赛事经济。举办"贵州村马"第四届端节全国赛马邀请赛（三都，5万座）、"村超"第三届国际足球赛（榕江，36国参赛）、"村BA"球王争霸赛全国总决赛（台盘）；省体育局假期发布体育赛事活动73项，免费或低收费开放体育场馆162个，推进"体育+旅游+文化"融合。</w:t>
      </w:r>
    </w:p>
    <w:p>
      <w:pPr>
        <w:spacing w:line="560" w:lineRule="exact" w:after="80"/>
        <w:ind w:firstLine="640"/>
      </w:pPr>
      <w:r>
        <w:rPr>
          <w:rFonts w:ascii="仿宋_GB2312" w:hAnsi="仿宋_GB2312" w:eastAsia="仿宋_GB2312"/>
          <w:b w:val="0"/>
          <w:sz w:val="32"/>
        </w:rPr>
        <w:t>二是创新文化体验场景。毕节奢香古镇"大地指纹"音乐会万人合唱；贵阳青岩古镇发放身份牌与汉服、答题闯关沉浸式演绎；铜仁中南门古城将梵净山非遗戏剧季搬进古建院落、移步换景；贵州长征文化数字艺术馆（红飘带）每日演出10场。</w:t>
      </w:r>
    </w:p>
    <w:p>
      <w:pPr>
        <w:spacing w:line="560" w:lineRule="exact" w:after="80"/>
        <w:ind w:firstLine="640"/>
      </w:pPr>
      <w:r>
        <w:rPr>
          <w:rFonts w:ascii="仿宋_GB2312" w:hAnsi="仿宋_GB2312" w:eastAsia="仿宋_GB2312"/>
          <w:b w:val="0"/>
          <w:sz w:val="32"/>
        </w:rPr>
        <w:t>三是补齐夜间与全时业态。黄果树景区推出《夜瀑山河绣》夜游（19:00至22:30）；剑河仰阿莎温泉小镇"秋收游园会·国庆奇妙夜"夜间游客占全天四成以上；六盘水推出"雨天不扫兴"室内空间攻略，引导游客走进博物馆、美术馆。</w:t>
      </w:r>
    </w:p>
    <w:p>
      <w:pPr>
        <w:spacing w:line="560" w:lineRule="exact" w:after="80"/>
        <w:ind w:firstLine="640"/>
      </w:pPr>
      <w:r>
        <w:rPr>
          <w:rFonts w:ascii="仿宋_GB2312" w:hAnsi="仿宋_GB2312" w:eastAsia="仿宋_GB2312"/>
          <w:b w:val="0"/>
          <w:sz w:val="32"/>
        </w:rPr>
        <w:t>四是全域联动供给。省文旅厅推出726项文旅活动、16条精品线路，覆盖红色研学、民俗风情、旅居康养、山地户外等七大场景；同步发放多彩贵州文旅消费券（"一码游贵州"平台），开展"多彩贵州欢乐购"；今年以来"票根经济"累计发券115.46万张，串联景区、餐饮、住宿、商超等业态。</w:t>
      </w:r>
    </w:p>
    <w:p>
      <w:pPr>
        <w:spacing w:line="560" w:lineRule="exact" w:before="80" w:after="200"/>
      </w:pPr>
      <w:r>
        <w:rPr>
          <w:rFonts w:ascii="仿宋_GB2312" w:hAnsi="仿宋_GB2312" w:eastAsia="仿宋_GB2312"/>
          <w:b w:val="0"/>
          <w:sz w:val="32"/>
        </w:rPr>
        <w:t>（信息来源：贵州日报10月8日《接住假日流量 延长消费链条》  https://szb.eyesnews.cn/pc/cont/202610/08/content_189900.html）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仿宋_GB2312" w:hAnsi="仿宋_GB2312" w:eastAsia="仿宋_GB2312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